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华文细黑" w:hAnsi="华文细黑" w:eastAsia="华文细黑"/>
          <w:b/>
          <w:bCs/>
          <w:color w:val="auto"/>
          <w:sz w:val="28"/>
          <w:szCs w:val="28"/>
          <w:highlight w:val="none"/>
          <w:shd w:val="pct10" w:color="auto" w:fill="FFFFFF"/>
        </w:rPr>
      </w:pPr>
    </w:p>
    <w:p>
      <w:pPr>
        <w:pStyle w:val="2"/>
        <w:rPr>
          <w:rFonts w:hint="eastAsia"/>
          <w:color w:val="auto"/>
          <w:highlight w:val="none"/>
        </w:rPr>
      </w:pPr>
      <w:bookmarkStart w:id="0" w:name="_Toc324935223"/>
      <w:r>
        <w:rPr>
          <w:rFonts w:hint="eastAsia"/>
          <w:color w:val="auto"/>
          <w:highlight w:val="none"/>
        </w:rPr>
        <w:t>厦门银城智谷房屋租赁合同（范本）</w:t>
      </w:r>
      <w:bookmarkEnd w:id="0"/>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本合同当事人：</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出租方：厦门市城市建设发展投资有限公司（以下简称甲方）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地址：厦门市厦门市同益路9号地产大厦15层</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承租方：（以下简称乙方）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地址：</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根据《中华人民共和国民法典》、《中华人民共和国城市房地产管理法》和《商品房屋租赁管理办法》等相关法律法规文件的规定，甲、乙双方在平等、自愿、公平以及诚实信用的基础上，就房屋租赁相关事宜协商一致，共同订立本合同。</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第一条租赁房屋基本情况</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1.1甲方将厦门银城智谷（以下简称园区）厦门市同安区  号  楼  单元（以下称为租赁房屋）租赁给乙方，建筑面积为  平方米。</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1.2租赁房屋交付标准为：按现状交付。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第二条租赁期限和用途</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2.1乙方租赁房屋的期限为年，自 年 月 日起至 年_月 日止。</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2.2乙方承诺应于 年 月 日前完成装饰装修布置并正式开业。如未按期开业，视为违约，具体如下：</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2.2.1逾期超过1个月至2个月的，则自逾期之日起，每逾期一日按当期年租金标准的万分之五收取违约金；</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2.2.2逾期超过2个月的，则除按前述2.2.1款计取违约金外，自第3个月起，将按当期年租金标准的万分之十收取违约金；</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2.2.3前述2.2.1和2.2.2条款违约金，甲方将在每月底从乙方履约保证金中直接扣取，且乙方应在次月20日前补足履约保证金。</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2.2.4逾期超过6个月仍未开业的，或乙方超过15天未足额补足履约保证金的，甲方有权单方解除本合同。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2.3乙方承诺，租赁房屋用途仅限于        。</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第三条租金及履约保证金支付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3.1租金标准和支付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3.1.1租赁期间内租金合计人民币___元（大写：___），上述租金包含增值税价格，不因国家税率的调整而调整，依照合同签订时增值税税率计算的不含税金额为人民币___元（大写：___），增值税税额为人民币___元（大写：___）。乙方合同期内首期租金按半年支付，剩余合同期租金以每3个月为一个缴费周期向甲方支付租金，租金采用转账方式汇至甲方指定账户。鉴于租赁房屋现状需要进行整理装修，故合同首期租金（ </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 xml:space="preserve">年 </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 xml:space="preserve">月 </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 xml:space="preserve">日- </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 xml:space="preserve">年 </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月</w:t>
      </w:r>
      <w:r>
        <w:rPr>
          <w:rFonts w:hint="eastAsia" w:ascii="华文细黑" w:hAnsi="华文细黑" w:eastAsia="华文细黑"/>
          <w:color w:val="auto"/>
          <w:sz w:val="24"/>
          <w:szCs w:val="24"/>
          <w:highlight w:val="none"/>
          <w:lang w:val="en-US" w:eastAsia="zh-CN"/>
        </w:rPr>
        <w:t xml:space="preserve"> </w:t>
      </w:r>
      <w:r>
        <w:rPr>
          <w:rFonts w:hint="eastAsia" w:ascii="华文细黑" w:hAnsi="华文细黑" w:eastAsia="华文细黑"/>
          <w:color w:val="auto"/>
          <w:sz w:val="24"/>
          <w:szCs w:val="24"/>
          <w:highlight w:val="none"/>
        </w:rPr>
        <w:t xml:space="preserve"> 日）为人民币___元（大写：___）。每期支付时间表如下：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2454"/>
        <w:gridCol w:w="1971"/>
        <w:gridCol w:w="214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序号</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支付时间</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月度租金（元）</w:t>
            </w:r>
          </w:p>
        </w:tc>
        <w:tc>
          <w:tcPr>
            <w:tcW w:w="214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周期租金（元）</w:t>
            </w:r>
          </w:p>
        </w:tc>
        <w:tc>
          <w:tcPr>
            <w:tcW w:w="1923"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计价周期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年  月   日前</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p>
        </w:tc>
        <w:tc>
          <w:tcPr>
            <w:tcW w:w="2149" w:type="dxa"/>
          </w:tcPr>
          <w:p>
            <w:pPr>
              <w:spacing w:line="360" w:lineRule="auto"/>
              <w:ind w:firstLine="480" w:firstLineChars="200"/>
              <w:rPr>
                <w:rFonts w:hint="eastAsia" w:ascii="华文细黑" w:hAnsi="华文细黑" w:eastAsia="华文细黑"/>
                <w:color w:val="auto"/>
                <w:sz w:val="24"/>
                <w:szCs w:val="24"/>
                <w:highlight w:val="none"/>
              </w:rPr>
            </w:pPr>
          </w:p>
        </w:tc>
        <w:tc>
          <w:tcPr>
            <w:tcW w:w="1923" w:type="dxa"/>
          </w:tcPr>
          <w:p>
            <w:pPr>
              <w:spacing w:line="360" w:lineRule="auto"/>
              <w:ind w:firstLine="480" w:firstLineChars="200"/>
              <w:rPr>
                <w:rFonts w:hint="eastAsia" w:ascii="华文细黑" w:hAnsi="华文细黑" w:eastAsia="华文细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年  月  日前</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p>
        </w:tc>
        <w:tc>
          <w:tcPr>
            <w:tcW w:w="2149" w:type="dxa"/>
          </w:tcPr>
          <w:p>
            <w:pPr>
              <w:spacing w:line="360" w:lineRule="auto"/>
              <w:ind w:firstLine="480" w:firstLineChars="200"/>
              <w:rPr>
                <w:rFonts w:hint="eastAsia" w:ascii="华文细黑" w:hAnsi="华文细黑" w:eastAsia="华文细黑"/>
                <w:color w:val="auto"/>
                <w:sz w:val="24"/>
                <w:szCs w:val="24"/>
                <w:highlight w:val="none"/>
              </w:rPr>
            </w:pPr>
          </w:p>
        </w:tc>
        <w:tc>
          <w:tcPr>
            <w:tcW w:w="1923" w:type="dxa"/>
          </w:tcPr>
          <w:p>
            <w:pPr>
              <w:spacing w:line="360" w:lineRule="auto"/>
              <w:ind w:firstLine="480" w:firstLineChars="200"/>
              <w:rPr>
                <w:rFonts w:hint="eastAsia" w:ascii="华文细黑" w:hAnsi="华文细黑" w:eastAsia="华文细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年  月  日前</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p>
        </w:tc>
        <w:tc>
          <w:tcPr>
            <w:tcW w:w="2149" w:type="dxa"/>
          </w:tcPr>
          <w:p>
            <w:pPr>
              <w:spacing w:line="360" w:lineRule="auto"/>
              <w:ind w:firstLine="480" w:firstLineChars="200"/>
              <w:rPr>
                <w:rFonts w:hint="eastAsia" w:ascii="华文细黑" w:hAnsi="华文细黑" w:eastAsia="华文细黑"/>
                <w:color w:val="auto"/>
                <w:sz w:val="24"/>
                <w:szCs w:val="24"/>
                <w:highlight w:val="none"/>
              </w:rPr>
            </w:pPr>
          </w:p>
        </w:tc>
        <w:tc>
          <w:tcPr>
            <w:tcW w:w="1923" w:type="dxa"/>
          </w:tcPr>
          <w:p>
            <w:pPr>
              <w:spacing w:line="360" w:lineRule="auto"/>
              <w:ind w:firstLine="480" w:firstLineChars="200"/>
              <w:rPr>
                <w:rFonts w:hint="eastAsia" w:ascii="华文细黑" w:hAnsi="华文细黑" w:eastAsia="华文细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4</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年   月  日前</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p>
        </w:tc>
        <w:tc>
          <w:tcPr>
            <w:tcW w:w="2149" w:type="dxa"/>
          </w:tcPr>
          <w:p>
            <w:pPr>
              <w:spacing w:line="360" w:lineRule="auto"/>
              <w:ind w:firstLine="480" w:firstLineChars="200"/>
              <w:rPr>
                <w:rFonts w:hint="eastAsia" w:ascii="华文细黑" w:hAnsi="华文细黑" w:eastAsia="华文细黑"/>
                <w:color w:val="auto"/>
                <w:sz w:val="24"/>
                <w:szCs w:val="24"/>
                <w:highlight w:val="none"/>
              </w:rPr>
            </w:pPr>
          </w:p>
        </w:tc>
        <w:tc>
          <w:tcPr>
            <w:tcW w:w="1923" w:type="dxa"/>
          </w:tcPr>
          <w:p>
            <w:pPr>
              <w:spacing w:line="360" w:lineRule="auto"/>
              <w:ind w:firstLine="480" w:firstLineChars="200"/>
              <w:rPr>
                <w:rFonts w:hint="eastAsia" w:ascii="华文细黑" w:hAnsi="华文细黑" w:eastAsia="华文细黑"/>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w:t>
            </w:r>
          </w:p>
        </w:tc>
        <w:tc>
          <w:tcPr>
            <w:tcW w:w="2454" w:type="dxa"/>
            <w:vAlign w:val="center"/>
          </w:tcPr>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年  月  日前</w:t>
            </w:r>
          </w:p>
        </w:tc>
        <w:tc>
          <w:tcPr>
            <w:tcW w:w="1971" w:type="dxa"/>
          </w:tcPr>
          <w:p>
            <w:pPr>
              <w:spacing w:line="360" w:lineRule="auto"/>
              <w:ind w:firstLine="480" w:firstLineChars="200"/>
              <w:rPr>
                <w:rFonts w:hint="eastAsia" w:ascii="华文细黑" w:hAnsi="华文细黑" w:eastAsia="华文细黑"/>
                <w:color w:val="auto"/>
                <w:sz w:val="24"/>
                <w:szCs w:val="24"/>
                <w:highlight w:val="none"/>
              </w:rPr>
            </w:pPr>
          </w:p>
        </w:tc>
        <w:tc>
          <w:tcPr>
            <w:tcW w:w="2149" w:type="dxa"/>
          </w:tcPr>
          <w:p>
            <w:pPr>
              <w:spacing w:line="360" w:lineRule="auto"/>
              <w:ind w:firstLine="480" w:firstLineChars="200"/>
              <w:rPr>
                <w:rFonts w:hint="eastAsia" w:ascii="华文细黑" w:hAnsi="华文细黑" w:eastAsia="华文细黑"/>
                <w:color w:val="auto"/>
                <w:sz w:val="24"/>
                <w:szCs w:val="24"/>
                <w:highlight w:val="none"/>
              </w:rPr>
            </w:pPr>
          </w:p>
        </w:tc>
        <w:tc>
          <w:tcPr>
            <w:tcW w:w="1923" w:type="dxa"/>
          </w:tcPr>
          <w:p>
            <w:pPr>
              <w:spacing w:line="360" w:lineRule="auto"/>
              <w:ind w:firstLine="480" w:firstLineChars="200"/>
              <w:rPr>
                <w:rFonts w:hint="eastAsia" w:ascii="华文细黑" w:hAnsi="华文细黑" w:eastAsia="华文细黑"/>
                <w:color w:val="auto"/>
                <w:sz w:val="24"/>
                <w:szCs w:val="24"/>
                <w:highlight w:val="none"/>
              </w:rPr>
            </w:pPr>
          </w:p>
        </w:tc>
      </w:tr>
    </w:tbl>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3.1.2甲方在收到各季度租金后7个工作日内给乙方开具发票：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□增值税专用发票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□增值税普通发票。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3.2 履约保证金标准和支付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3.2.1本合同履约保证金为人民币___元（大写：___），乙方已向甲方交纳的公开招租保证金人民币___元（大写：___）自动转为本合同履约保证金，不足部分应在本合同签订之日起五个工作日内支付至甲方指定账户。</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3.2.2租赁期间，经双方协商同意因乙方原因要求减少租赁面积的，前期缴交的履约保证金不予变更。</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3.2.3如乙方在履约过程中发生本合同约定的违约行为，则甲方有权直接从履约保证金中抵扣违约金或者用于弥补给甲方造成的损失。由于乙方违约行为，甲方从履约保证金中抵扣违约金或者用于弥补给甲方造成的损失后，乙方应在扣除之日起15日内按原标准补足保证金。在保证金扣除后，乙方向甲方支付的任何费用，将优先用于补足保证金，剩余费用才能按照乙方原定用途使用。如履约保证金不足抵扣或乙方不补足保证金，甲方有权向乙方追偿或单方解除合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3.2.4 租赁期限届满或合同解除后7日内，同时满足以下条件时，甲方应当在扣除乙方应承担的租金、费用以及违约赔偿金后，将履约保证金剩余部分无息退还给乙方：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（1）乙方未对租赁房屋造成损坏或已经将损坏的房屋修复；</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（2）乙方按照本合同约定的方式将租赁房屋（包括附属设施）交还给甲方；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（3）乙方使用租赁房屋地址办理工商注册的，已将工商注册地址迁移，并办理完毕法律及政府规定的其他手续。</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（4）乙方将水电缴费户名或托收关系回归原位，并办理完成相关手续； </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3.3 租赁期间所产生的包括但不限于物业管理费、房屋公维金、水电费等由乙方自行承担，并按园区相关收费标准缴至园区的物业公司。</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3.4 乙方必须严格按政府规定自行缴纳应交的税费和行政收费。乙方不按规定履行缴税义务被有关部门查处，责任有由乙方自行承担。因此给甲方造成损失的，甲方有权向乙方追偿。</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3.5 甲乙双方银行账户信息</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3.5.1甲方账户信息：</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账户名称：厦门市城市建设发展投资有限公司</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开户银行：兴业银行新港支行           </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银行账号： 129380100100109335          </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3.5.2乙方账户信息:</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账户名称：</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开户银行：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银行账号：</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3.6 乙方开票信息：</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名称：</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纳税人识别号：</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地址：</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电话：</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开户银行：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银行账号：</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第四条租赁房屋的交付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4.1甲方于租赁期限起始日按现状将租赁房屋交付乙方使用，乙方同意按租赁房屋及设施的现状承租；有关水电燃气等起计底数由乙方自行对接园区物业公司。</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4.2乙方因需安装自用水电设施、扩大容量的（应有独立计量设施）或接通甲方提供的燃气管道的，乙方应事先向园区的物业公司提出申请，自行负责安装并承担相关费用，经甲方指定的物业公司现场审核后方可投入使用。增容或接通燃气管道后的产权和所有权归甲方所有。待租赁期满、合同终止或解除时，乙方需配合甲方更换户名或将托收关系转移等必要的流程处理。</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第五条租赁房屋使用要求</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5.1乙方应遵守园区管理制度及相关物业管理规定（包括本合同签订后新颁布的）。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5.2乙方严格按照本合同第二条第2.3款约定的租赁用途使用租赁房屋，不得用于组装、加工等生产用途，不得设有生产组装车间及大型仓库，不得擅自改变使用用途，不得擅自占用公共部位。</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5.3乙方为租赁区域第一安全责任人，乙方应严格执行《厦门市消防管理条例》中的各项规定，设置消防设施并严格相应管理制度。乙方不得在租赁房屋内存放和生产加工易燃、易爆、有毒的危险物品。不得私拉电线、高负载用电，应做好租赁区域内电气线路、电器设备以及甲方配备的设施等用电维护和定期检查，做好员工防火安全教育和应急培训等工作。在租赁期限内租赁房屋内出现的一切包括但不限于安全、消防、生产等事故及由此的各种损害，均由乙方承担全部法律责任，甲方不承担相关连带任何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5.4乙方需积极配合甲方安全管理，甲方有权随时检查乙方对租赁标的物的维修保养和使用情况，发现乙方对任何标的物的使用可能产生损坏该标的物的后果或者日常经营生产存在安全隐患，甲方有权要求乙方立即改正或者立即停止对该标的物的使用，进行整改，因此造成的损失全部由乙方自行承担。</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5.5租赁期间未经甲方书面同意，乙方不得将租赁房屋全部或部分以转租、转借、合作、承包、联营等形式交给第三方使用。否则甲方有权立即解除本合同，同时没收乙方全部的履约保证金。</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5.6甲方在租赁房屋内配备的所有设施均属甲方所有。乙方对租赁房屋附属设施负有妥善使用和维护之责，对各种可能出现的故障和危险应及时消除，以免一切可能发生的隐患。因乙方不及时修复造成租赁房屋及其附属设施发生破坏性事故、财产损失或者人身伤害的，乙方应当承担赔偿责任，甲方不承担任何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5.7乙方不得对租赁房屋进行扩建。乙方如需对租赁房屋进行内部装饰装修，由乙方自行负责并承担一切费用。但装修不得改变租赁房屋主体结构，乙方在装修前需向甲方指定的物业提交租赁房屋内部装修申请及方案（包含平面设计图、强弱电布置图等），经物业公司书面确认后方可进场装修（除物业公司书面同意外，物业公司的沉默、不作为或其它任何形式的行为都不应推定为对乙方装修的同意）。如乙方装修工程按政府相关规定还需取得完整、合法的装修手续的，应在政府许可手续获批后才能实施，装修施工过程中所发生的安全事故责任由乙方承担。</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5.8乙方投入装修应充分考虑本合同的期限，乙方自负其责，甲方不承担任何责任，乙方不得在合同终止时向甲方主张任何装修费用作价补偿要求。</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5.9租期届满或合同解除或提前终止合同情况发生后，甲方对租赁房屋的装饰装修部分的归属享有选择权，并且甲方对已形成附合的装饰装修物残值不予补偿。如果甲方要求依附于租赁房屋的装修归甲方所有，则乙方不得自行拆除，同时保持租赁房屋使用现状。甲方如书面要求乙方恢复租赁房屋的原始状态的，则乙方应自行拆除装修、装饰恢复到该租赁房屋承租时的原状并承担相应费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5.10若因乙方装修或使用的租赁房屋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第六条广告规定</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乙方如需在租赁房屋外设置广告牌、招牌、灯箱、海报、展架等户外广告，应遵守厦门市及园区相关管理规定，乙方自行制作并承担相关费用。乙方须按甲方统一规划或指定或审批同意的位置设立户外广告。</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第七条租赁房屋归还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7.1租赁期提前终止或届满前60日内，乙方应做好腾房准备工作，包括：配合甲方携带的意向租户参观租赁房屋，配合意向租户进场前的必要准备工作；按甲方要求对租赁区域进行恢复。乙方保证不因腾房工作而给甲方或其它人员任何干扰。</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7.2乙方应于租期届满或提前终止后，将租赁房屋及附属设施、设备完整交还甲方。交还的租赁房屋应当保持房屋及设施、设备的完好状态，不得留存物品或影响房屋的正常使用。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7.3如乙方逾期不搬出该租赁房屋的，甲方有权自行回收租赁房屋，乙方除应按本合同约定的以届时日租金的三倍标准向甲方支付逾期腾房期间的房屋占用费之外，还应按照本条其他约定承担责任和后果：自逾期之日起，租赁标的物空间内的所有物品视为乙方的抛弃物，甲方有权对租赁标的物范围内的所有物品进行处置，费用由乙方承担，从乙方履约保证金中扣除，若乙方履约保证金不足于弥补的，甲方有权向乙方追偿，乙方对此无异议。</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第八条双方的权利和义务</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8.1甲方的权利和义务</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8.1.1提供租赁房屋的使用权予乙方租赁经营。</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8.1.2确保租赁房屋正常使用（如通水电）。</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8.1.3甲方支持乙方有序经营、稳定发展。</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8.1.4甲方不承担乙方营业中的一切费用及风险。</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8.1.5甲方依照法律规定承担自己的各项纳税义务。</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8.1.6甲方有权允许其他承租人在项目内经营与乙方相同或类似的业务。</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8.1.7甲方有权整合品牌传播策略，根据经营、招商需求策划相关活动，乙方应积极配合。</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8.1.8甲方有权整合品牌形象，统一商业形象包装、对外推广宣传材料、招商资料。</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8.1.9甲方保留更改、改进经营和维持该租赁项目所必要的一切管理规章制度的权利，并以甲方认为合适的方式送达和告知乙方。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 乙方的权利和义务</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8.2.1乙方应遵从合法经营、安全管理的原则，不得将租赁房屋作为留宿的生活用房等。</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8.2.2乙方应按本合同约定用途自用租赁房屋，未经甲方书面同意，不得擅自改变租赁房屋用途或以转租、转借等方式交由其它方使用，否则甲方有权拒绝提供园区配套服务（包括但不限于配套公寓、水电保障和停车位等）和取消入园优惠（包括但不限于各项优惠收费等（如有）)。</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 3乙方应协助配合甲方行使本合同第8.1.6、8.1.7、8.1.8项的招商活动。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8.2.4租赁期间，乙方应自行做好租赁房屋的日常保养和必要的维修并承担费用，以确保该物业的正常、安全使用，甲方不予承担相关的保养和维修责任。因使用不当造成租赁房屋及其附属设施损坏的，乙方应负责修复，若因乙方维修管理不当造成租赁房屋及其附属设施发生破坏性事故，造成财产损失或人身伤害的，乙方应当承担全部法律责任，甲方不承担相关连带任何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8.2.5【商业用房专属条款】乙方应遵守公平原则，在自己的主营业务内开展商业活动，商业活动区域不得超出租赁房屋的区域，如有特殊活动场地需求，需书面向甲方申请同意后执行，并严禁以不正当手段损害其他商家正当利益。若乙方的经营活动违反甲方相关管理规定或者侵害其他商户的利益，甲方有权要求乙方在限定时间内停止经营活动，若乙方在限定时间内不能纠正其经营活动，视为乙方违约，甲方有权立即解除本合同并收回租赁房屋，合同保证金不予返还，同时乙方须对由此给甲方带来的损失承担赔偿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8.2.6【商业用房专属条款】除甲方提供的管道燃气（如有）、用电这两种形式外，禁止使用煤气、煤炭等明火烹饪设备；乙方自行安装净水器等设备，如因餐饮用水问题引起的顾客投诉，乙方须自行承担解决。</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8.2.7【商业用房专属条款】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应对租赁房屋所内经营活动的合法性负责。</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8.2.8【商业用房专属条款】乙方使用承租房屋注册公司或其他经营实体的，应自收到营业执照之日起7日内，将营业执照复印件加盖公章后交甲方备案，同时与甲方办理追加该公司或其他经营实体作为共同承租人的手续。乙方应当与该公司或其他经营实体共同承担本合同的责任义务，不因承租主体的追加而免除乙方的合同义务。</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第九条合同的变更、解除与终止</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9.1乙方如有特殊困难及问题，应提前60日书面提出提前终止解除本合同的申请并说明原因，双方协商由甲方决定是否终止解除本合同以及确定相应的法律后果。若乙方提前60日单方面解除合同并经甲方同意的，乙方应将履约保证金的30%抵作违约金；乙方未能提前60日提出的，甲方有权没收全额履约保证金。</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租赁期间，乙方有下列行为之一的，甲方有权单方解除合同，收回租赁房屋，并没收乙方的全部履约保证金，已收取的租金和费用不予退还，如果给甲方造成的损失超过违约金的，还应赔偿相应的经济损失。合同自甲方做出书面解除通知之日起3日后，或自甲方将解除通知按乙方在合同上标明的地址邮寄后5日即解除：</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9.2.1乙方未经得甲方书面同意拆改、变动租赁房屋的结构，在甲方通知期限内仍未修复的。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9.2.2乙方擅改经营项目、擅改经营场所、擅自改变本招商项目用途、擅自转包等严重违约行为的。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9.2.3乙方累计逾期30日未按规定缴纳应缴纳的相关费用，包括但不限于房租、水电费、公共水电费等各项费用。</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9.2.4利用该租赁房屋进行违法活动，或乙方将租赁房屋全部或部分交由他人使用后，他人利用该租赁房屋进行违法活动的；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9.2.5未经甲方书面同意，以转租、转借、抵押、合作、承包、联营等形式将租赁房屋全部或部分交由他人使用的；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9.2.6【商业用房专属条款】乙方按2.2条开业后，无正当理由歇业或空置，一年内连续累计闲置180日的。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9.2.7【商业用房专属条款】乙方违反商业规范，开展不恰当商业活动，扰乱经济秩序，在甲方通知下，未作改正的。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9.2.8【商业用房专属条款】乙方未能取得营业执照的。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9.2.9违反其他约定在甲方书面通知改正后未能在甲方给予的合理期限内改正的。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9.3 甲方有下列情形之一的，乙方有权单方面解除合同，并追究甲方的违约责任：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9.3.1甲方不交付或者迟延交付租赁房屋30日以上的，且乙方未接收租赁房屋。</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9.3.2 租赁房屋主体结构存在缺陷，危及安全的。</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9. 4租赁期届满双方不再续约的，或因不可抗力因素导致合同无法履行的，合同终止。</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第十条违约责任</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10.1租赁期内乙方逾期缴纳本合同约定应由乙方负担的费用的，自甲方发送的律师函载明的期限到期之日起，每逾期1日向甲方支付未付款项千分之三的违约金。当季度未结款项（含所有欠款及违约金）一并纳入当季度应付款项。任何应付未付款项逾期满30日，甲方有权解除合同，已支付的费用不再退还。</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10.2租赁经营期间，如果乙方有违反或不履行本合同的行为，无论是否给甲方造成实际损失或者损害，应在甲方发出要求乙方纠正该等行为或（和）赔偿甲方损失的书面通知后5日内纠正或（和）赔偿。否则甲方有权直接没收全部履约保证金，并要求乙方采取补救措施，甚至解除合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10.3乙方没有在合同约定期限内正式入驻使用或对外营业的，且无事先经甲方同意更改或延长开业时间的，视为乙方违约。</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10.4乙方没有在租赁期满后或合同被解除后7日内注销租赁房屋工商营业等执照或将相关执照的登记地址移出租赁房屋，视等同为乙方未如期交还租赁房屋，则甲方有权向市场监督管理局申请锁定租赁房屋工商营业等执照，由此产生的一切后果由乙方自行承担。</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10.5其它甲方认定为违约的情形。</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10.6甲方为追究乙方违约责任而支出的包括但不仅限于通知公告费、诉讼费、仲裁费、律师费、公证费、调查取证等费用由乙方承担。</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第十一条免责条件</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11.1因不可抗力原因致使本合同不能继续履行，由双方协商决定是否解除合同或免除或部分免除履行合同的责任，或者延期履行本合同。</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11.2遇有不可抗力的一方，应当在24小时内将事件的情况以信件或传真等书面形式通知另一方，并且在事件发生后2日内，向另一方提交本合同不能履行或部分不能履行或需要延期履行的理由。</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11.3租赁期间内因租赁房屋在交付日之后遭受爆炸、盗窃或不可抗力等其它类似安全问题而对乙方或任何第三者造成的伤害或任何财物上的损失或破坏，乙方应向直接责任人要求民事赔偿。甲方不承担赔偿责任。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第十二条合同续租</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乙方若有续租需求，应于合同租期届满前60日向甲方提出书面申请，甲方可以根据届时厦门市国有资产经营管理有关规定研究处理。若甲方决定重新组织公开招租确定承租方，乙方可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第十三条通知与送达</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13.1本合同项下的送达及由一方向对方发出的所有通知应以中文书写。</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13.2送达方式为：直接送达、快递送达。</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采取直接送达的，应取得对方填写的送达回执，受送达人在送达回执上签收的日期为送达日期。</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采取快递送达的，各方均确认其在本条款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 </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13.3双方按以下地址或联系人送达通知：</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如送达给出租方：厦门市城市建设发展投资有限公司</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地址: 厦门市湖里区同益路9号地产大厦15层</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联系人:</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联系电话：</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如送达给承租方：</w:t>
      </w:r>
      <w:r>
        <w:rPr>
          <w:rFonts w:hint="eastAsia" w:ascii="华文细黑" w:hAnsi="华文细黑" w:eastAsia="华文细黑"/>
          <w:color w:val="auto"/>
          <w:sz w:val="24"/>
          <w:szCs w:val="24"/>
          <w:highlight w:val="none"/>
        </w:rPr>
        <w:tab/>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地址:</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联系人:</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联系电话：</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任何更改上述地址或联系人或传真号码必须提前七个工作日以书面形式告知对方。</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第十四条争议解决</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本合同项下发生的争议，由双方当事人协商或申请调解；协商或调解解决不成的，可向厦门仲裁委员会提起仲裁。</w:t>
      </w:r>
    </w:p>
    <w:p>
      <w:pPr>
        <w:spacing w:line="360" w:lineRule="auto"/>
        <w:ind w:firstLine="480" w:firstLineChars="200"/>
        <w:rPr>
          <w:rFonts w:hint="eastAsia" w:ascii="华文细黑" w:hAnsi="华文细黑" w:eastAsia="华文细黑"/>
          <w:b/>
          <w:bCs/>
          <w:color w:val="auto"/>
          <w:sz w:val="24"/>
          <w:szCs w:val="24"/>
          <w:highlight w:val="none"/>
        </w:rPr>
      </w:pPr>
      <w:r>
        <w:rPr>
          <w:rFonts w:hint="eastAsia" w:ascii="华文细黑" w:hAnsi="华文细黑" w:eastAsia="华文细黑"/>
          <w:b/>
          <w:bCs/>
          <w:color w:val="auto"/>
          <w:sz w:val="24"/>
          <w:szCs w:val="24"/>
          <w:highlight w:val="none"/>
        </w:rPr>
        <w:t>第十五条其他条款</w:t>
      </w:r>
    </w:p>
    <w:p>
      <w:pPr>
        <w:spacing w:line="360" w:lineRule="auto"/>
        <w:ind w:firstLine="480" w:firstLineChars="200"/>
        <w:rPr>
          <w:rFonts w:hint="eastAsia" w:ascii="华文细黑" w:hAnsi="华文细黑" w:eastAsia="华文细黑"/>
          <w:color w:val="auto"/>
          <w:sz w:val="24"/>
          <w:szCs w:val="24"/>
          <w:highlight w:val="none"/>
          <w:lang w:val="en-US" w:eastAsia="zh-CN"/>
        </w:rPr>
      </w:pPr>
      <w:r>
        <w:rPr>
          <w:rFonts w:hint="eastAsia" w:ascii="华文细黑" w:hAnsi="华文细黑" w:eastAsia="华文细黑"/>
          <w:color w:val="auto"/>
          <w:sz w:val="24"/>
          <w:szCs w:val="24"/>
          <w:highlight w:val="none"/>
        </w:rPr>
        <w:t>15.1</w:t>
      </w:r>
      <w:r>
        <w:rPr>
          <w:rFonts w:hint="eastAsia" w:ascii="华文细黑" w:hAnsi="华文细黑" w:eastAsia="华文细黑"/>
          <w:color w:val="auto"/>
          <w:sz w:val="24"/>
          <w:szCs w:val="24"/>
          <w:highlight w:val="none"/>
          <w:lang w:val="en-US" w:eastAsia="zh-CN"/>
        </w:rPr>
        <w:t>本合同文本中凡带“</w:t>
      </w:r>
      <w:r>
        <w:rPr>
          <w:rFonts w:hint="eastAsia" w:ascii="华文细黑" w:hAnsi="华文细黑" w:eastAsia="华文细黑"/>
          <w:color w:val="auto"/>
          <w:sz w:val="24"/>
          <w:szCs w:val="24"/>
          <w:highlight w:val="none"/>
        </w:rPr>
        <w:t>□</w:t>
      </w:r>
      <w:r>
        <w:rPr>
          <w:rFonts w:hint="eastAsia" w:ascii="华文细黑" w:hAnsi="华文细黑" w:eastAsia="华文细黑"/>
          <w:color w:val="auto"/>
          <w:sz w:val="24"/>
          <w:szCs w:val="24"/>
          <w:highlight w:val="none"/>
          <w:lang w:eastAsia="zh-CN"/>
        </w:rPr>
        <w:t>”</w:t>
      </w:r>
      <w:r>
        <w:rPr>
          <w:rFonts w:hint="eastAsia" w:ascii="华文细黑" w:hAnsi="华文细黑" w:eastAsia="华文细黑"/>
          <w:color w:val="auto"/>
          <w:sz w:val="24"/>
          <w:szCs w:val="24"/>
          <w:highlight w:val="none"/>
          <w:lang w:val="en-US" w:eastAsia="zh-CN"/>
        </w:rPr>
        <w:t>的选项，应在选择项前的“</w:t>
      </w:r>
      <w:r>
        <w:rPr>
          <w:rFonts w:hint="eastAsia" w:ascii="华文细黑" w:hAnsi="华文细黑" w:eastAsia="华文细黑"/>
          <w:color w:val="auto"/>
          <w:sz w:val="24"/>
          <w:szCs w:val="24"/>
          <w:highlight w:val="none"/>
        </w:rPr>
        <w:t>□</w:t>
      </w:r>
      <w:r>
        <w:rPr>
          <w:rFonts w:hint="eastAsia" w:ascii="华文细黑" w:hAnsi="华文细黑" w:eastAsia="华文细黑"/>
          <w:color w:val="auto"/>
          <w:sz w:val="24"/>
          <w:szCs w:val="24"/>
          <w:highlight w:val="none"/>
          <w:lang w:val="en-US" w:eastAsia="zh-CN"/>
        </w:rPr>
        <w:t>”内打“√”，并在未选择项前的“</w:t>
      </w:r>
      <w:r>
        <w:rPr>
          <w:rFonts w:hint="eastAsia" w:ascii="华文细黑" w:hAnsi="华文细黑" w:eastAsia="华文细黑"/>
          <w:color w:val="auto"/>
          <w:sz w:val="24"/>
          <w:szCs w:val="24"/>
          <w:highlight w:val="none"/>
        </w:rPr>
        <w:t>□</w:t>
      </w:r>
      <w:r>
        <w:rPr>
          <w:rFonts w:hint="eastAsia" w:ascii="华文细黑" w:hAnsi="华文细黑" w:eastAsia="华文细黑"/>
          <w:color w:val="auto"/>
          <w:sz w:val="24"/>
          <w:szCs w:val="24"/>
          <w:highlight w:val="none"/>
          <w:lang w:val="en-US" w:eastAsia="zh-CN"/>
        </w:rPr>
        <w:t>”打“×”。</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lang w:val="en-US" w:eastAsia="zh-CN"/>
        </w:rPr>
        <w:t>15.2</w:t>
      </w:r>
      <w:r>
        <w:rPr>
          <w:rFonts w:hint="eastAsia" w:ascii="华文细黑" w:hAnsi="华文细黑" w:eastAsia="华文细黑"/>
          <w:color w:val="auto"/>
          <w:sz w:val="24"/>
          <w:szCs w:val="24"/>
          <w:highlight w:val="none"/>
        </w:rPr>
        <w:t>本合同经双方法定代表人或授权代表签字并加盖公章（如是个体户承租则按手印）后生效。本合同的争议解决条款、乙方的搬迁责任条款不因本合同的解除或终止而失效。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15.</w:t>
      </w:r>
      <w:r>
        <w:rPr>
          <w:rFonts w:hint="eastAsia" w:ascii="华文细黑" w:hAnsi="华文细黑" w:eastAsia="华文细黑"/>
          <w:color w:val="auto"/>
          <w:sz w:val="24"/>
          <w:szCs w:val="24"/>
          <w:highlight w:val="none"/>
          <w:lang w:val="en-US" w:eastAsia="zh-CN"/>
        </w:rPr>
        <w:t>3</w:t>
      </w:r>
      <w:r>
        <w:rPr>
          <w:rFonts w:hint="eastAsia" w:ascii="华文细黑" w:hAnsi="华文细黑" w:eastAsia="华文细黑"/>
          <w:color w:val="auto"/>
          <w:sz w:val="24"/>
          <w:szCs w:val="24"/>
          <w:highlight w:val="none"/>
        </w:rPr>
        <w:t>乙方在签订本合同之前已经详细审阅了本合同的所有条款，双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15.</w:t>
      </w:r>
      <w:r>
        <w:rPr>
          <w:rFonts w:hint="eastAsia" w:ascii="华文细黑" w:hAnsi="华文细黑" w:eastAsia="华文细黑"/>
          <w:color w:val="auto"/>
          <w:sz w:val="24"/>
          <w:szCs w:val="24"/>
          <w:highlight w:val="none"/>
          <w:lang w:val="en-US" w:eastAsia="zh-CN"/>
        </w:rPr>
        <w:t>4</w:t>
      </w:r>
      <w:r>
        <w:rPr>
          <w:rFonts w:hint="eastAsia" w:ascii="华文细黑" w:hAnsi="华文细黑" w:eastAsia="华文细黑"/>
          <w:color w:val="auto"/>
          <w:sz w:val="24"/>
          <w:szCs w:val="24"/>
          <w:highlight w:val="none"/>
        </w:rPr>
        <w:t>本合同未尽事宜，可签订补充合同，补充合同与本合同具有同等法律效力。</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15.</w:t>
      </w:r>
      <w:r>
        <w:rPr>
          <w:rFonts w:hint="eastAsia" w:ascii="华文细黑" w:hAnsi="华文细黑" w:eastAsia="华文细黑"/>
          <w:color w:val="auto"/>
          <w:sz w:val="24"/>
          <w:szCs w:val="24"/>
          <w:highlight w:val="none"/>
          <w:lang w:val="en-US" w:eastAsia="zh-CN"/>
        </w:rPr>
        <w:t>5</w:t>
      </w:r>
      <w:r>
        <w:rPr>
          <w:rFonts w:hint="eastAsia" w:ascii="华文细黑" w:hAnsi="华文细黑" w:eastAsia="华文细黑"/>
          <w:color w:val="auto"/>
          <w:sz w:val="24"/>
          <w:szCs w:val="24"/>
          <w:highlight w:val="none"/>
        </w:rPr>
        <w:t>本合同及附件一式肆份，双方各执贰份。具有同等法律效力。</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 xml:space="preserve"> [以下无正文]</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[本页无正文，为签署页]</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甲方：厦门市城市建设发展投资有限公司</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签约代表：</w:t>
      </w:r>
    </w:p>
    <w:p>
      <w:pPr>
        <w:spacing w:line="360" w:lineRule="auto"/>
        <w:ind w:firstLine="480" w:firstLineChars="200"/>
        <w:rPr>
          <w:rFonts w:hint="eastAsia" w:ascii="华文细黑" w:hAnsi="华文细黑" w:eastAsia="华文细黑"/>
          <w:color w:val="auto"/>
          <w:sz w:val="24"/>
          <w:szCs w:val="24"/>
          <w:highlight w:val="none"/>
        </w:rPr>
      </w:pP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乙方：</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签约代表：</w:t>
      </w:r>
    </w:p>
    <w:p>
      <w:pPr>
        <w:spacing w:line="360" w:lineRule="auto"/>
        <w:ind w:firstLine="480" w:firstLineChars="200"/>
        <w:rPr>
          <w:rFonts w:hint="eastAsia" w:ascii="华文细黑" w:hAnsi="华文细黑" w:eastAsia="华文细黑"/>
          <w:color w:val="auto"/>
          <w:sz w:val="24"/>
          <w:szCs w:val="24"/>
          <w:highlight w:val="none"/>
        </w:rPr>
      </w:pPr>
    </w:p>
    <w:p>
      <w:pPr>
        <w:spacing w:line="360" w:lineRule="auto"/>
        <w:ind w:firstLine="480" w:firstLineChars="200"/>
        <w:rPr>
          <w:rFonts w:hint="eastAsia" w:ascii="华文细黑" w:hAnsi="华文细黑" w:eastAsia="华文细黑"/>
          <w:color w:val="auto"/>
          <w:sz w:val="24"/>
          <w:szCs w:val="24"/>
          <w:highlight w:val="none"/>
        </w:rPr>
      </w:pPr>
    </w:p>
    <w:p>
      <w:pPr>
        <w:spacing w:line="360" w:lineRule="auto"/>
        <w:ind w:firstLine="480" w:firstLineChars="200"/>
        <w:rPr>
          <w:rFonts w:hint="eastAsia" w:ascii="华文细黑" w:hAnsi="华文细黑" w:eastAsia="华文细黑"/>
          <w:color w:val="auto"/>
          <w:sz w:val="24"/>
          <w:szCs w:val="24"/>
          <w:highlight w:val="none"/>
        </w:rPr>
      </w:pP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签约日期：  年  月  日</w:t>
      </w:r>
    </w:p>
    <w:p>
      <w:pPr>
        <w:spacing w:line="360" w:lineRule="auto"/>
        <w:ind w:firstLine="480" w:firstLineChars="200"/>
        <w:rPr>
          <w:rFonts w:hint="eastAsia" w:ascii="华文细黑" w:hAnsi="华文细黑" w:eastAsia="华文细黑"/>
          <w:color w:val="auto"/>
          <w:sz w:val="24"/>
          <w:szCs w:val="24"/>
          <w:highlight w:val="none"/>
        </w:rPr>
      </w:pPr>
      <w:r>
        <w:rPr>
          <w:rFonts w:hint="eastAsia" w:ascii="华文细黑" w:hAnsi="华文细黑" w:eastAsia="华文细黑"/>
          <w:color w:val="auto"/>
          <w:sz w:val="24"/>
          <w:szCs w:val="24"/>
          <w:highlight w:val="none"/>
        </w:rPr>
        <w:t>签约地点：福建省厦门市</w:t>
      </w: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right="200"/>
        <w:jc w:val="right"/>
        <w:rPr>
          <w:rFonts w:asciiTheme="minorEastAsia" w:hAnsiTheme="minorEastAsia"/>
          <w:sz w:val="28"/>
          <w:szCs w:val="28"/>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szCs w:val="24"/>
        </w:rPr>
      </w:pPr>
    </w:p>
    <w:p>
      <w:pPr>
        <w:spacing w:line="360" w:lineRule="auto"/>
        <w:rPr>
          <w:rFonts w:ascii="仿宋_GB2312" w:hAnsi="宋体" w:eastAsia="仿宋_GB2312"/>
          <w:b/>
          <w:bCs/>
          <w:sz w:val="24"/>
        </w:rPr>
      </w:pPr>
      <w:r>
        <w:rPr>
          <w:rFonts w:hint="eastAsia" w:ascii="仿宋_GB2312" w:hAnsi="宋体" w:eastAsia="仿宋_GB2312" w:cs="宋体"/>
          <w:sz w:val="24"/>
          <w:szCs w:val="24"/>
        </w:rPr>
        <w:t>出租方：厦门市城市建设发展投资有限公司 （以下简称“甲方”）</w:t>
      </w:r>
    </w:p>
    <w:p>
      <w:pPr>
        <w:spacing w:line="360" w:lineRule="auto"/>
        <w:rPr>
          <w:rFonts w:ascii="仿宋_GB2312" w:hAnsi="宋体" w:eastAsia="仿宋_GB2312" w:cs="宋体"/>
          <w:sz w:val="24"/>
          <w:szCs w:val="24"/>
        </w:rPr>
      </w:pPr>
      <w:r>
        <w:rPr>
          <w:rFonts w:hint="eastAsia" w:ascii="仿宋_GB2312" w:hAnsi="宋体" w:eastAsia="仿宋_GB2312" w:cs="宋体"/>
          <w:sz w:val="24"/>
          <w:szCs w:val="24"/>
        </w:rPr>
        <w:t>地  址：厦门市湖里区同益路9号地产大厦15层</w:t>
      </w:r>
    </w:p>
    <w:p>
      <w:pPr>
        <w:spacing w:line="360" w:lineRule="auto"/>
        <w:rPr>
          <w:rFonts w:ascii="仿宋_GB2312" w:hAnsi="Cambria" w:eastAsia="仿宋_GB2312"/>
          <w:sz w:val="24"/>
        </w:rPr>
      </w:pPr>
    </w:p>
    <w:p>
      <w:pPr>
        <w:spacing w:line="360" w:lineRule="auto"/>
        <w:rPr>
          <w:rFonts w:ascii="仿宋_GB2312" w:hAnsi="宋体" w:eastAsia="仿宋_GB2312"/>
          <w:b/>
          <w:bCs/>
          <w:sz w:val="24"/>
        </w:rPr>
      </w:pPr>
      <w:r>
        <w:rPr>
          <w:rFonts w:hint="eastAsia" w:ascii="仿宋_GB2312" w:hAnsi="Cambria" w:eastAsia="仿宋_GB2312"/>
          <w:sz w:val="24"/>
        </w:rPr>
        <w:t>承租方：</w:t>
      </w:r>
      <w:r>
        <w:rPr>
          <w:rFonts w:hint="eastAsia" w:ascii="仿宋_GB2312" w:hAnsi="Cambria" w:eastAsia="仿宋_GB2312"/>
          <w:sz w:val="24"/>
          <w:u w:val="single"/>
          <w:lang w:val="en-US" w:eastAsia="zh-CN"/>
        </w:rPr>
        <w:t xml:space="preserve">                                 </w:t>
      </w:r>
      <w:r>
        <w:rPr>
          <w:rFonts w:hint="eastAsia" w:ascii="仿宋_GB2312" w:hAnsi="宋体" w:eastAsia="仿宋_GB2312" w:cs="宋体"/>
          <w:sz w:val="24"/>
          <w:szCs w:val="24"/>
        </w:rPr>
        <w:t>（以下简称“乙方”）</w:t>
      </w:r>
    </w:p>
    <w:p>
      <w:pPr>
        <w:spacing w:line="360" w:lineRule="auto"/>
        <w:rPr>
          <w:rFonts w:hint="default" w:ascii="仿宋_GB2312" w:hAnsi="Cambria" w:eastAsia="仿宋_GB2312"/>
          <w:sz w:val="24"/>
          <w:lang w:val="en-US" w:eastAsia="zh-CN"/>
        </w:rPr>
      </w:pPr>
      <w:r>
        <w:rPr>
          <w:rFonts w:hint="eastAsia" w:ascii="仿宋_GB2312" w:hAnsi="Cambria" w:eastAsia="仿宋_GB2312"/>
          <w:sz w:val="24"/>
        </w:rPr>
        <w:t>地  址：</w:t>
      </w:r>
      <w:r>
        <w:rPr>
          <w:rFonts w:hint="eastAsia" w:ascii="仿宋_GB2312" w:hAnsi="Cambria" w:eastAsia="仿宋_GB2312"/>
          <w:sz w:val="24"/>
          <w:u w:val="single"/>
          <w:lang w:val="en-US" w:eastAsia="zh-CN"/>
        </w:rPr>
        <w:t xml:space="preserve">                                 </w:t>
      </w:r>
      <w:r>
        <w:rPr>
          <w:rFonts w:hint="eastAsia" w:ascii="仿宋_GB2312" w:hAnsi="Cambria" w:eastAsia="仿宋_GB2312"/>
          <w:sz w:val="24"/>
          <w:lang w:val="en-US" w:eastAsia="zh-CN"/>
        </w:rPr>
        <w:t xml:space="preserve">       </w:t>
      </w:r>
    </w:p>
    <w:p>
      <w:pPr>
        <w:spacing w:line="360" w:lineRule="auto"/>
        <w:ind w:firstLine="590" w:firstLineChars="245"/>
        <w:rPr>
          <w:rFonts w:ascii="仿宋_GB2312" w:hAnsi="宋体" w:eastAsia="仿宋_GB2312"/>
          <w:b/>
          <w:sz w:val="24"/>
          <w:szCs w:val="24"/>
        </w:rPr>
      </w:pPr>
    </w:p>
    <w:p>
      <w:pPr>
        <w:spacing w:line="360" w:lineRule="auto"/>
        <w:ind w:firstLine="590" w:firstLineChars="245"/>
        <w:rPr>
          <w:rFonts w:ascii="仿宋_GB2312" w:eastAsia="仿宋_GB2312"/>
          <w:sz w:val="24"/>
          <w:szCs w:val="24"/>
        </w:rPr>
      </w:pPr>
      <w:r>
        <w:rPr>
          <w:rFonts w:hint="eastAsia" w:ascii="仿宋_GB2312" w:hAnsi="宋体" w:eastAsia="仿宋_GB2312"/>
          <w:b/>
          <w:sz w:val="24"/>
          <w:szCs w:val="24"/>
        </w:rPr>
        <w:t>鉴于</w:t>
      </w:r>
      <w:r>
        <w:rPr>
          <w:rFonts w:hint="eastAsia" w:ascii="仿宋_GB2312" w:hAnsi="宋体" w:eastAsia="仿宋_GB2312"/>
          <w:sz w:val="24"/>
          <w:szCs w:val="24"/>
        </w:rPr>
        <w:t>甲乙双方</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日签订的《房屋租赁合同》（厦城投协[</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号）</w:t>
      </w:r>
      <w:r>
        <w:rPr>
          <w:rFonts w:hint="eastAsia" w:ascii="仿宋_GB2312" w:hAnsi="宋体" w:eastAsia="仿宋_GB2312"/>
          <w:sz w:val="24"/>
          <w:szCs w:val="24"/>
          <w:lang w:val="en-US" w:eastAsia="zh-CN"/>
        </w:rPr>
        <w:t>及相关补充协议（若有）</w:t>
      </w:r>
      <w:r>
        <w:rPr>
          <w:rFonts w:hint="eastAsia" w:ascii="仿宋_GB2312" w:hAnsi="宋体" w:eastAsia="仿宋_GB2312"/>
          <w:sz w:val="24"/>
          <w:szCs w:val="24"/>
        </w:rPr>
        <w:t>，</w:t>
      </w:r>
      <w:r>
        <w:rPr>
          <w:rFonts w:hint="eastAsia" w:ascii="仿宋_GB2312" w:hAnsi="仿宋" w:eastAsia="仿宋_GB2312"/>
          <w:sz w:val="24"/>
          <w:szCs w:val="24"/>
        </w:rPr>
        <w:t>乙方向甲方租赁位于</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w:t>
      </w:r>
      <w:r>
        <w:rPr>
          <w:rFonts w:hint="eastAsia" w:ascii="仿宋_GB2312" w:hAnsi="仿宋" w:eastAsia="仿宋_GB2312"/>
          <w:sz w:val="24"/>
          <w:szCs w:val="24"/>
          <w:lang w:val="zh-CN"/>
        </w:rPr>
        <w:t>下称</w:t>
      </w:r>
      <w:r>
        <w:rPr>
          <w:rFonts w:hint="eastAsia" w:ascii="仿宋_GB2312" w:eastAsia="仿宋_GB2312"/>
          <w:sz w:val="24"/>
          <w:szCs w:val="24"/>
          <w:lang w:val="zh-CN"/>
        </w:rPr>
        <w:t>“</w:t>
      </w:r>
      <w:r>
        <w:rPr>
          <w:rFonts w:hint="eastAsia" w:ascii="仿宋_GB2312" w:hAnsi="仿宋" w:eastAsia="仿宋_GB2312"/>
          <w:b/>
          <w:sz w:val="24"/>
          <w:szCs w:val="24"/>
          <w:lang w:val="zh-CN"/>
        </w:rPr>
        <w:t>租赁场所</w:t>
      </w:r>
      <w:r>
        <w:rPr>
          <w:rFonts w:hint="eastAsia" w:ascii="仿宋_GB2312" w:eastAsia="仿宋_GB2312"/>
          <w:sz w:val="24"/>
          <w:szCs w:val="24"/>
          <w:lang w:val="zh-CN"/>
        </w:rPr>
        <w:t>”</w:t>
      </w:r>
      <w:r>
        <w:rPr>
          <w:rFonts w:hint="eastAsia" w:ascii="仿宋_GB2312" w:hAnsi="仿宋" w:eastAsia="仿宋_GB2312"/>
          <w:sz w:val="24"/>
          <w:szCs w:val="24"/>
          <w:lang w:val="zh-CN"/>
        </w:rPr>
        <w:t>）。</w:t>
      </w:r>
      <w:r>
        <w:rPr>
          <w:rFonts w:hint="eastAsia" w:ascii="仿宋_GB2312" w:hAnsi="宋体" w:eastAsia="仿宋_GB2312"/>
          <w:sz w:val="24"/>
          <w:szCs w:val="24"/>
        </w:rPr>
        <w:t>为进一步加强租赁场所经营中的安全生产管理，切实做好安全生产工作，杜绝安全事故的发生，</w:t>
      </w:r>
      <w:r>
        <w:rPr>
          <w:rFonts w:hint="eastAsia" w:ascii="仿宋_GB2312" w:hAnsi="仿宋" w:eastAsia="仿宋_GB2312"/>
          <w:sz w:val="24"/>
          <w:szCs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4</w:t>
      </w:r>
      <w:r>
        <w:rPr>
          <w:rFonts w:hint="eastAsia" w:ascii="仿宋_GB2312" w:hAnsi="宋体" w:eastAsia="仿宋_GB2312"/>
          <w:sz w:val="24"/>
          <w:szCs w:val="24"/>
        </w:rPr>
        <w:t>.租赁场所区域内发生生产安全事故，按事故类别立即如实报告所在地的相关安全生产监督部门。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lang w:val="en-US" w:eastAsia="zh-CN"/>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w:t>
      </w:r>
    </w:p>
    <w:p>
      <w:pPr>
        <w:spacing w:line="360" w:lineRule="auto"/>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乙方应接受甲方对其安全生产及消防安全工作的协调，配合甲方的安全生产与消防安全监督检查。</w:t>
      </w:r>
    </w:p>
    <w:p>
      <w:pPr>
        <w:tabs>
          <w:tab w:val="left" w:pos="720"/>
        </w:tabs>
        <w:spacing w:line="360" w:lineRule="auto"/>
        <w:ind w:firstLine="325" w:firstLineChars="150"/>
        <w:rPr>
          <w:rFonts w:hint="eastAsia" w:ascii="仿宋_GB2312" w:hAnsi="华文细黑" w:eastAsia="仿宋_GB2312" w:cs="宋体"/>
          <w:b/>
          <w:w w:val="90"/>
          <w:kern w:val="0"/>
          <w:sz w:val="24"/>
          <w:szCs w:val="24"/>
          <w:lang w:val="zh-CN" w:eastAsia="zh-CN"/>
        </w:rPr>
      </w:pPr>
      <w:r>
        <w:rPr>
          <w:rFonts w:hint="eastAsia" w:ascii="仿宋_GB2312" w:hAnsi="华文细黑" w:eastAsia="仿宋_GB2312" w:cs="宋体"/>
          <w:b/>
          <w:w w:val="90"/>
          <w:kern w:val="0"/>
          <w:sz w:val="24"/>
          <w:szCs w:val="24"/>
          <w:lang w:val="zh-CN" w:eastAsia="zh-CN"/>
        </w:rPr>
        <w:t>（一）生产经营安全</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1.严格按照规定用途使用管理经营场所，并取得的相关经营资质，不得擅自改变管理经营用途。</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 xml:space="preserve">2.不擅自以转租、转借等方式将租赁场所提供给第三人使用。 </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3.除非确属安全使用必要且经甲方同意，不得对租赁场所进行任何装修、改造、改建。</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4.租赁场所及其围护设施均为现状租赁，一旦出现危险隐患，乙方应立即采取必要维修保养措施，以避免由此引发的人身财产伤害事件。</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5.在管理经营的场所内不得从事违反国家环保规定的作业和违反国家法律法规的非法经营活动。</w:t>
      </w:r>
    </w:p>
    <w:p>
      <w:pPr>
        <w:tabs>
          <w:tab w:val="left" w:pos="720"/>
        </w:tabs>
        <w:spacing w:line="360" w:lineRule="auto"/>
        <w:ind w:firstLine="325" w:firstLineChars="150"/>
        <w:rPr>
          <w:rFonts w:hint="eastAsia" w:ascii="仿宋_GB2312" w:hAnsi="华文细黑" w:eastAsia="仿宋_GB2312" w:cs="宋体"/>
          <w:b/>
          <w:w w:val="90"/>
          <w:kern w:val="0"/>
          <w:sz w:val="24"/>
          <w:szCs w:val="24"/>
          <w:lang w:val="zh-CN" w:eastAsia="zh-CN"/>
        </w:rPr>
      </w:pPr>
      <w:r>
        <w:rPr>
          <w:rFonts w:hint="eastAsia" w:ascii="仿宋_GB2312" w:hAnsi="华文细黑" w:eastAsia="仿宋_GB2312" w:cs="宋体"/>
          <w:b/>
          <w:w w:val="90"/>
          <w:kern w:val="0"/>
          <w:sz w:val="24"/>
          <w:szCs w:val="24"/>
          <w:lang w:val="zh-CN" w:eastAsia="zh-CN"/>
        </w:rPr>
        <w:t>（二）消防管理安全</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1.禁止“三合一”现象，生产经营、储存、使用货物的场所内不得设置宿舍或厨房。</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3.应当遵守国家有关消防规定，不得在租赁场所内存放和生产加工易燃、易爆、有毒的危险物品。</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 xml:space="preserve">4.要严格遵守安全生产用电的规定，严禁超负荷和乱接乱搭电源等不安全行为。 </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6.消防安全法律、法规的其他强制性规定。</w:t>
      </w:r>
    </w:p>
    <w:p>
      <w:pPr>
        <w:spacing w:line="360" w:lineRule="auto"/>
        <w:ind w:firstLine="480" w:firstLineChars="200"/>
        <w:rPr>
          <w:rFonts w:hint="eastAsia" w:ascii="仿宋_GB2312" w:hAnsi="仿宋" w:eastAsia="仿宋_GB2312"/>
          <w:sz w:val="24"/>
          <w:lang w:val="en-US" w:eastAsia="zh-CN"/>
        </w:rPr>
      </w:pPr>
      <w:r>
        <w:rPr>
          <w:rFonts w:hint="eastAsia" w:ascii="仿宋_GB2312" w:hAnsi="仿宋" w:eastAsia="仿宋_GB2312"/>
          <w:sz w:val="24"/>
          <w:lang w:val="en-US" w:eastAsia="zh-CN"/>
        </w:rPr>
        <w:t>7.乙方应对责任区域范围内用气、用电安全负责，乙方在租赁期间须严格遵守相关的用气、用电安全制度，做好用气用电的安全管理工作，积极配合主管部门做好安全检查等工作。</w:t>
      </w:r>
    </w:p>
    <w:p>
      <w:pPr>
        <w:spacing w:line="360" w:lineRule="auto"/>
        <w:ind w:firstLine="480" w:firstLineChars="200"/>
        <w:rPr>
          <w:rFonts w:hint="default" w:ascii="仿宋_GB2312" w:hAnsi="仿宋" w:eastAsia="仿宋_GB2312"/>
          <w:sz w:val="24"/>
          <w:lang w:val="en-US" w:eastAsia="zh-CN"/>
        </w:rPr>
      </w:pPr>
      <w:r>
        <w:rPr>
          <w:rFonts w:hint="eastAsia" w:ascii="仿宋_GB2312" w:hAnsi="仿宋" w:eastAsia="仿宋_GB2312"/>
          <w:sz w:val="24"/>
          <w:lang w:val="en-US" w:eastAsia="zh-CN"/>
        </w:rPr>
        <w:t>8.乙方不得擅自拆除或改动店铺原始隔断布局及随意增设用电、用气设备，不得自行增容、更改、搭接线路，如确需改动或增设的，需提前报请有关部门同意，批准后方可实施。如因乙方用气、用电不当造成的事故，责任由乙方承担，并依法赔偿因此造成的损失。</w:t>
      </w:r>
    </w:p>
    <w:p>
      <w:pPr>
        <w:tabs>
          <w:tab w:val="left" w:pos="720"/>
        </w:tabs>
        <w:spacing w:line="360" w:lineRule="auto"/>
        <w:ind w:firstLine="325" w:firstLineChars="150"/>
        <w:rPr>
          <w:rFonts w:ascii="仿宋_GB2312" w:hAnsi="华文细黑" w:eastAsia="仿宋_GB2312" w:cs="宋体"/>
          <w:b/>
          <w:w w:val="90"/>
          <w:kern w:val="0"/>
          <w:sz w:val="24"/>
          <w:szCs w:val="24"/>
          <w:lang w:val="zh-CN"/>
        </w:rPr>
      </w:pPr>
      <w:r>
        <w:rPr>
          <w:rFonts w:hint="eastAsia" w:ascii="仿宋_GB2312" w:hAnsi="华文细黑" w:eastAsia="仿宋_GB2312" w:cs="宋体"/>
          <w:b/>
          <w:w w:val="90"/>
          <w:kern w:val="0"/>
          <w:sz w:val="24"/>
          <w:szCs w:val="24"/>
          <w:lang w:val="zh-CN"/>
        </w:rPr>
        <w:t>（三）环境卫生及公共安全</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1.严禁在户外乱搭乱建，如需在户外设置广告、招牌、灯箱等，应遵守《厦门市户外招牌设置导则》，并事先获得业主的许可。</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2.物品安置及车辆停放等应整齐有序，不得违章停放或侵占他人用地，不得占用公共通道。</w:t>
      </w:r>
    </w:p>
    <w:p>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szCs w:val="24"/>
        </w:rPr>
      </w:pPr>
      <w:r>
        <w:rPr>
          <w:rFonts w:hint="eastAsia" w:ascii="仿宋_GB2312" w:hAnsi="仿宋" w:eastAsia="仿宋_GB2312"/>
          <w:b/>
          <w:sz w:val="24"/>
          <w:szCs w:val="24"/>
        </w:rPr>
        <w:t>三、违约责任</w:t>
      </w:r>
    </w:p>
    <w:p>
      <w:pPr>
        <w:spacing w:line="360" w:lineRule="auto"/>
        <w:ind w:firstLine="480" w:firstLineChars="200"/>
        <w:rPr>
          <w:rFonts w:ascii="仿宋_GB2312" w:hAnsi="仿宋" w:eastAsia="仿宋_GB2312"/>
          <w:sz w:val="24"/>
          <w:szCs w:val="24"/>
        </w:rPr>
      </w:pPr>
      <w:r>
        <w:rPr>
          <w:rFonts w:hint="eastAsia" w:ascii="仿宋_GB2312" w:eastAsia="仿宋_GB2312"/>
          <w:sz w:val="24"/>
          <w:szCs w:val="24"/>
        </w:rPr>
        <w:t>1</w:t>
      </w:r>
      <w:r>
        <w:rPr>
          <w:rFonts w:hint="eastAsia" w:ascii="仿宋_GB2312" w:hAnsi="仿宋" w:eastAsia="仿宋_GB2312"/>
          <w:sz w:val="24"/>
          <w:szCs w:val="24"/>
        </w:rPr>
        <w:t>．乙方应依法承担管理责任，落实管理工作，在其安全责任区域范围内发生责任事故造成人员伤亡、他人财产损失、火灾事故等，乙方应当承担赔偿责任及相关法律责任。</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．乙方如不具备法律、法规规定的安全生产条件，甲方有权向乙方下发书面整改通知书，乙方应在</w:t>
      </w:r>
      <w:r>
        <w:rPr>
          <w:rFonts w:hint="eastAsia" w:ascii="仿宋_GB2312" w:eastAsia="仿宋_GB2312"/>
          <w:sz w:val="24"/>
          <w:szCs w:val="24"/>
        </w:rPr>
        <w:t>10</w:t>
      </w:r>
      <w:r>
        <w:rPr>
          <w:rFonts w:hint="eastAsia" w:ascii="仿宋_GB2312" w:hAnsi="仿宋" w:eastAsia="仿宋_GB2312"/>
          <w:sz w:val="24"/>
          <w:szCs w:val="24"/>
        </w:rPr>
        <w:t>天内整改；如乙方不进行整改的，甲方有权直接进行整改，所需费用和损失由乙方承担。</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仿宋" w:eastAsia="仿宋_GB2312"/>
          <w:sz w:val="24"/>
          <w:szCs w:val="24"/>
        </w:rPr>
        <w:t>．由于乙方未履行相关义务发生生产安全事故的，由乙方承担责任，并赔偿因此给甲方造成的全部损失。</w:t>
      </w:r>
    </w:p>
    <w:p>
      <w:pPr>
        <w:spacing w:beforeLines="50" w:afterLines="50" w:line="360" w:lineRule="auto"/>
        <w:ind w:firstLine="482" w:firstLineChars="200"/>
        <w:rPr>
          <w:rFonts w:hint="eastAsia" w:ascii="仿宋_GB2312" w:hAnsi="仿宋" w:eastAsia="仿宋_GB2312"/>
          <w:b/>
          <w:sz w:val="24"/>
          <w:szCs w:val="24"/>
        </w:rPr>
      </w:pPr>
      <w:r>
        <w:rPr>
          <w:rFonts w:hint="eastAsia" w:ascii="仿宋_GB2312" w:hAnsi="仿宋" w:eastAsia="仿宋_GB2312"/>
          <w:b/>
          <w:sz w:val="24"/>
          <w:szCs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szCs w:val="24"/>
        </w:rPr>
        <w:t>《房屋租赁合同》</w:t>
      </w:r>
      <w:r>
        <w:rPr>
          <w:rFonts w:hint="eastAsia" w:ascii="仿宋_GB2312" w:hAnsi="仿宋" w:eastAsia="仿宋_GB2312"/>
          <w:sz w:val="24"/>
        </w:rPr>
        <w:t>的附件，与</w:t>
      </w:r>
      <w:r>
        <w:rPr>
          <w:rFonts w:hint="eastAsia" w:ascii="仿宋_GB2312" w:hAnsi="宋体" w:eastAsia="仿宋_GB2312"/>
          <w:sz w:val="24"/>
          <w:szCs w:val="24"/>
        </w:rPr>
        <w:t>《房屋租赁合同》</w:t>
      </w:r>
      <w:r>
        <w:rPr>
          <w:rFonts w:hint="eastAsia" w:ascii="仿宋_GB2312" w:hAnsi="仿宋" w:eastAsia="仿宋_GB2312"/>
          <w:sz w:val="24"/>
        </w:rPr>
        <w:t>具有同等法律效力，</w:t>
      </w:r>
      <w:r>
        <w:rPr>
          <w:rFonts w:hint="eastAsia" w:ascii="仿宋_GB2312" w:hAnsi="宋体" w:eastAsia="仿宋_GB2312"/>
          <w:sz w:val="24"/>
          <w:szCs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．本协议壹式贰份，甲乙双方各执壹份，各份均具有同等法律效力。</w:t>
      </w:r>
    </w:p>
    <w:p>
      <w:pPr>
        <w:spacing w:line="360" w:lineRule="auto"/>
        <w:ind w:firstLine="480" w:firstLineChars="200"/>
        <w:rPr>
          <w:rFonts w:hint="eastAsia" w:ascii="仿宋_GB2312" w:eastAsia="仿宋_GB2312"/>
          <w:sz w:val="24"/>
        </w:rPr>
      </w:pPr>
      <w:r>
        <w:rPr>
          <w:rFonts w:hint="eastAsia" w:ascii="仿宋_GB2312" w:hAnsi="仿宋" w:eastAsia="仿宋_GB2312"/>
          <w:sz w:val="24"/>
        </w:rPr>
        <w:t>（以下无正文）</w:t>
      </w:r>
    </w:p>
    <w:p>
      <w:pPr>
        <w:spacing w:line="360" w:lineRule="auto"/>
        <w:ind w:firstLine="482" w:firstLineChars="200"/>
        <w:rPr>
          <w:rFonts w:hint="eastAsia" w:ascii="仿宋_GB2312" w:hAnsi="宋体" w:eastAsia="仿宋_GB2312"/>
          <w:b/>
          <w:color w:val="000000"/>
          <w:sz w:val="24"/>
          <w:lang w:val="zh-CN"/>
        </w:rPr>
      </w:pPr>
      <w:r>
        <w:rPr>
          <w:rFonts w:hint="eastAsia" w:ascii="仿宋_GB2312" w:hAnsi="宋体" w:eastAsia="仿宋_GB2312"/>
          <w:b/>
          <w:color w:val="000000"/>
          <w:sz w:val="24"/>
          <w:lang w:val="zh-CN"/>
        </w:rPr>
        <w:t>（</w:t>
      </w:r>
      <w:r>
        <w:rPr>
          <w:rFonts w:hint="eastAsia" w:ascii="仿宋_GB2312" w:hAnsi="宋体" w:eastAsia="仿宋_GB2312"/>
          <w:b/>
          <w:color w:val="000000"/>
          <w:sz w:val="24"/>
          <w:lang w:val="en-US" w:eastAsia="zh-CN"/>
        </w:rPr>
        <w:t>本页为签署页，无正文</w:t>
      </w:r>
      <w:r>
        <w:rPr>
          <w:rFonts w:hint="eastAsia" w:ascii="仿宋_GB2312" w:hAnsi="宋体" w:eastAsia="仿宋_GB2312"/>
          <w:b/>
          <w:color w:val="000000"/>
          <w:sz w:val="24"/>
          <w:lang w:val="zh-CN"/>
        </w:rPr>
        <w:t>）</w:t>
      </w:r>
    </w:p>
    <w:p>
      <w:pPr>
        <w:spacing w:line="360" w:lineRule="auto"/>
        <w:ind w:firstLine="482" w:firstLineChars="200"/>
        <w:rPr>
          <w:rFonts w:hint="eastAsia" w:ascii="仿宋_GB2312" w:hAnsi="宋体" w:eastAsia="仿宋_GB2312"/>
          <w:b/>
          <w:color w:val="000000"/>
          <w:sz w:val="24"/>
          <w:lang w:val="zh-CN"/>
        </w:rPr>
      </w:pPr>
    </w:p>
    <w:p>
      <w:pPr>
        <w:spacing w:line="360" w:lineRule="auto"/>
        <w:ind w:firstLine="482" w:firstLineChars="200"/>
        <w:rPr>
          <w:rFonts w:ascii="仿宋_GB2312" w:eastAsia="仿宋_GB2312"/>
          <w:sz w:val="24"/>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eastAsia="仿宋_GB2312"/>
          <w:color w:val="000000"/>
          <w:sz w:val="24"/>
          <w:lang w:val="zh-CN"/>
        </w:rPr>
        <w:t xml:space="preserve"> 厦门市城市建设发展投资有限公司</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beforeLines="100" w:line="480" w:lineRule="auto"/>
        <w:ind w:firstLine="539"/>
        <w:rPr>
          <w:rFonts w:hint="default" w:ascii="仿宋_GB2312" w:eastAsia="仿宋_GB2312"/>
          <w:color w:val="000000"/>
          <w:sz w:val="24"/>
          <w:u w:val="single"/>
          <w:lang w:val="en-US" w:eastAsia="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b/>
          <w:color w:val="000000"/>
          <w:sz w:val="24"/>
          <w:u w:val="single"/>
          <w:lang w:val="en-US" w:eastAsia="zh-CN"/>
        </w:rPr>
        <w:t xml:space="preserve">                                            </w:t>
      </w:r>
    </w:p>
    <w:p>
      <w:pPr>
        <w:autoSpaceDE w:val="0"/>
        <w:autoSpaceDN w:val="0"/>
        <w:adjustRightInd w:val="0"/>
        <w:spacing w:line="480" w:lineRule="auto"/>
        <w:ind w:firstLine="540"/>
        <w:rPr>
          <w:rFonts w:hint="default" w:ascii="仿宋_GB2312" w:hAnsi="宋体" w:eastAsia="仿宋_GB2312"/>
          <w:color w:val="000000"/>
          <w:sz w:val="24"/>
          <w:u w:val="single"/>
          <w:lang w:val="en-US" w:eastAsia="zh-CN"/>
        </w:rPr>
      </w:pPr>
      <w:r>
        <w:rPr>
          <w:rFonts w:hint="eastAsia" w:ascii="仿宋_GB2312" w:hAnsi="宋体" w:eastAsia="仿宋_GB2312"/>
          <w:color w:val="000000"/>
          <w:sz w:val="24"/>
          <w:lang w:val="zh-CN"/>
        </w:rPr>
        <w:t>授权代表：</w:t>
      </w:r>
      <w:r>
        <w:rPr>
          <w:rFonts w:hint="eastAsia" w:ascii="仿宋_GB2312" w:hAnsi="宋体" w:eastAsia="仿宋_GB2312"/>
          <w:color w:val="000000"/>
          <w:sz w:val="24"/>
          <w:u w:val="single"/>
          <w:lang w:val="en-US" w:eastAsia="zh-CN"/>
        </w:rPr>
        <w:t xml:space="preserve">           </w:t>
      </w:r>
    </w:p>
    <w:p>
      <w:pPr>
        <w:autoSpaceDE w:val="0"/>
        <w:autoSpaceDN w:val="0"/>
        <w:adjustRightInd w:val="0"/>
        <w:spacing w:line="480" w:lineRule="auto"/>
        <w:jc w:val="right"/>
        <w:rPr>
          <w:rFonts w:ascii="仿宋_GB2312" w:eastAsia="仿宋_GB2312"/>
          <w:sz w:val="24"/>
        </w:rPr>
      </w:pPr>
      <w:r>
        <w:rPr>
          <w:rFonts w:hint="eastAsia" w:ascii="仿宋_GB2312" w:hAnsi="宋体" w:eastAsia="仿宋_GB2312"/>
          <w:color w:val="000000"/>
          <w:sz w:val="24"/>
          <w:lang w:val="zh-CN"/>
        </w:rPr>
        <w:t>签订时间：</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lang w:val="zh-CN"/>
        </w:rPr>
        <w:t>年</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lang w:val="zh-CN"/>
        </w:rPr>
        <w:t>月</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lang w:val="zh-CN"/>
        </w:rPr>
        <w:t>日</w:t>
      </w:r>
    </w:p>
    <w:p>
      <w:pPr>
        <w:widowControl/>
        <w:jc w:val="left"/>
        <w:rPr>
          <w:rFonts w:asciiTheme="minorEastAsia" w:hAnsiTheme="minorEastAsia"/>
          <w:sz w:val="28"/>
          <w:szCs w:val="28"/>
        </w:rPr>
      </w:pPr>
      <w:r>
        <w:rPr>
          <w:rFonts w:asciiTheme="minorEastAsia" w:hAnsiTheme="minorEastAsia"/>
          <w:sz w:val="28"/>
          <w:szCs w:val="28"/>
        </w:rPr>
        <w:br w:type="page"/>
      </w:r>
    </w:p>
    <w:p>
      <w:pPr>
        <w:widowControl/>
        <w:spacing w:line="285" w:lineRule="atLeast"/>
        <w:jc w:val="center"/>
        <w:textAlignment w:val="bottom"/>
        <w:rPr>
          <w:rFonts w:ascii="宋体" w:hAnsi="宋体" w:cs="宋体"/>
          <w:b/>
          <w:bCs/>
          <w:color w:val="auto"/>
          <w:kern w:val="0"/>
          <w:sz w:val="40"/>
          <w:highlight w:val="none"/>
        </w:rPr>
      </w:pPr>
      <w:bookmarkStart w:id="1" w:name="_GoBack"/>
      <w:bookmarkEnd w:id="1"/>
    </w:p>
    <w:p>
      <w:pPr>
        <w:widowControl/>
        <w:spacing w:line="285" w:lineRule="atLeast"/>
        <w:jc w:val="center"/>
        <w:textAlignment w:val="bottom"/>
        <w:rPr>
          <w:rFonts w:ascii="宋体" w:hAnsi="宋体" w:cs="宋体"/>
          <w:color w:val="auto"/>
          <w:kern w:val="0"/>
          <w:sz w:val="40"/>
          <w:highlight w:val="none"/>
        </w:rPr>
      </w:pPr>
      <w:r>
        <w:rPr>
          <w:rFonts w:hint="eastAsia" w:ascii="宋体" w:hAnsi="宋体" w:cs="宋体"/>
          <w:b/>
          <w:bCs/>
          <w:color w:val="auto"/>
          <w:kern w:val="0"/>
          <w:sz w:val="40"/>
          <w:highlight w:val="none"/>
        </w:rPr>
        <w:t>银城智谷园区xxxxxxxx物业服务合同</w:t>
      </w:r>
    </w:p>
    <w:p>
      <w:pPr>
        <w:widowControl/>
        <w:spacing w:line="285" w:lineRule="atLeast"/>
        <w:jc w:val="left"/>
        <w:textAlignment w:val="bottom"/>
        <w:rPr>
          <w:rFonts w:ascii="宋体" w:hAnsi="宋体" w:cs="宋体"/>
          <w:color w:val="auto"/>
          <w:kern w:val="0"/>
          <w:sz w:val="28"/>
          <w:highlight w:val="none"/>
        </w:rPr>
      </w:pPr>
      <w:r>
        <w:rPr>
          <w:rFonts w:ascii="宋体" w:hAnsi="宋体" w:cs="宋体"/>
          <w:color w:val="auto"/>
          <w:kern w:val="0"/>
          <w:sz w:val="28"/>
          <w:highlight w:val="none"/>
        </w:rPr>
        <w:t> </w:t>
      </w:r>
    </w:p>
    <w:p>
      <w:pPr>
        <w:widowControl/>
        <w:spacing w:line="285" w:lineRule="atLeast"/>
        <w:jc w:val="left"/>
        <w:textAlignment w:val="bottom"/>
        <w:rPr>
          <w:rFonts w:ascii="宋体" w:hAnsi="宋体" w:cs="宋体"/>
          <w:color w:val="auto"/>
          <w:kern w:val="0"/>
          <w:sz w:val="28"/>
          <w:highlight w:val="none"/>
        </w:rPr>
      </w:pP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甲方：</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法定代表人：</w:t>
      </w:r>
      <w:r>
        <w:rPr>
          <w:rFonts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 xml:space="preserve">联系人： </w:t>
      </w:r>
      <w:r>
        <w:rPr>
          <w:rFonts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联系人电话：</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通讯地址：</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p>
    <w:p>
      <w:pPr>
        <w:widowControl/>
        <w:spacing w:line="285" w:lineRule="atLeast"/>
        <w:ind w:firstLine="1699" w:firstLineChars="607"/>
        <w:jc w:val="center"/>
        <w:textAlignment w:val="bottom"/>
        <w:rPr>
          <w:rFonts w:ascii="宋体" w:hAnsi="宋体" w:cs="宋体"/>
          <w:color w:val="auto"/>
          <w:kern w:val="0"/>
          <w:sz w:val="28"/>
          <w:highlight w:val="none"/>
        </w:rPr>
      </w:pP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乙方：</w:t>
      </w:r>
      <w:r>
        <w:rPr>
          <w:rFonts w:hint="eastAsia" w:ascii="宋体" w:hAnsi="宋体" w:cs="宋体"/>
          <w:color w:val="auto"/>
          <w:kern w:val="0"/>
          <w:sz w:val="28"/>
          <w:highlight w:val="none"/>
          <w:u w:val="single"/>
        </w:rPr>
        <w:t xml:space="preserve">厦门市人居乐业物业服务有限公司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法定代表人：</w:t>
      </w:r>
      <w:r>
        <w:rPr>
          <w:rFonts w:hint="eastAsia" w:ascii="宋体" w:hAnsi="宋体" w:cs="宋体"/>
          <w:color w:val="auto"/>
          <w:kern w:val="0"/>
          <w:sz w:val="28"/>
          <w:highlight w:val="none"/>
          <w:u w:val="single"/>
        </w:rPr>
        <w:t xml:space="preserve">      许凌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u w:val="single"/>
        </w:rPr>
      </w:pPr>
      <w:r>
        <w:rPr>
          <w:rFonts w:hint="eastAsia" w:ascii="宋体" w:hAnsi="宋体" w:cs="宋体"/>
          <w:color w:val="auto"/>
          <w:kern w:val="0"/>
          <w:sz w:val="28"/>
          <w:highlight w:val="none"/>
        </w:rPr>
        <w:t>联系人：</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w:t>
      </w:r>
      <w:r>
        <w:rPr>
          <w:rFonts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联系人电话：</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通讯地址：</w:t>
      </w:r>
      <w:r>
        <w:rPr>
          <w:rFonts w:hint="eastAsia" w:ascii="宋体" w:hAnsi="宋体" w:cs="宋体"/>
          <w:color w:val="auto"/>
          <w:kern w:val="0"/>
          <w:sz w:val="28"/>
          <w:highlight w:val="none"/>
          <w:u w:val="single"/>
        </w:rPr>
        <w:t xml:space="preserve">厦门市同益路9号地产大厦7楼北区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资质等级：</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壹级</w:t>
      </w:r>
      <w:r>
        <w:rPr>
          <w:rFonts w:ascii="宋体" w:hAnsi="宋体" w:cs="宋体"/>
          <w:color w:val="auto"/>
          <w:kern w:val="0"/>
          <w:sz w:val="28"/>
          <w:highlight w:val="none"/>
          <w:u w:val="single"/>
        </w:rPr>
        <w:t>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证书编号：</w:t>
      </w:r>
      <w:r>
        <w:rPr>
          <w:rFonts w:ascii="宋体" w:hAnsi="宋体" w:cs="宋体"/>
          <w:color w:val="auto"/>
          <w:kern w:val="0"/>
          <w:sz w:val="28"/>
          <w:highlight w:val="none"/>
          <w:u w:val="single"/>
        </w:rPr>
        <w:t>  </w:t>
      </w:r>
      <w:r>
        <w:rPr>
          <w:rFonts w:hint="eastAsia" w:ascii="宋体" w:hAnsi="宋体" w:cs="宋体"/>
          <w:color w:val="auto"/>
          <w:kern w:val="0"/>
          <w:sz w:val="28"/>
          <w:highlight w:val="none"/>
          <w:u w:val="single"/>
        </w:rPr>
        <w:t xml:space="preserve">  （建）116219</w:t>
      </w:r>
      <w:r>
        <w:rPr>
          <w:rFonts w:ascii="宋体" w:hAnsi="宋体" w:cs="宋体"/>
          <w:color w:val="auto"/>
          <w:kern w:val="0"/>
          <w:sz w:val="28"/>
          <w:highlight w:val="none"/>
          <w:u w:val="single"/>
        </w:rPr>
        <w:t> </w:t>
      </w:r>
      <w:r>
        <w:rPr>
          <w:rFonts w:hint="eastAsia" w:ascii="宋体" w:hAnsi="宋体" w:cs="宋体"/>
          <w:color w:val="auto"/>
          <w:kern w:val="0"/>
          <w:sz w:val="28"/>
          <w:highlight w:val="none"/>
        </w:rPr>
        <w:t>。</w:t>
      </w:r>
    </w:p>
    <w:p>
      <w:pPr>
        <w:widowControl/>
        <w:spacing w:line="285" w:lineRule="atLeast"/>
        <w:ind w:firstLine="1699" w:firstLineChars="607"/>
        <w:jc w:val="left"/>
        <w:textAlignment w:val="bottom"/>
        <w:rPr>
          <w:rFonts w:ascii="宋体" w:hAnsi="宋体" w:cs="宋体"/>
          <w:color w:val="auto"/>
          <w:kern w:val="0"/>
          <w:sz w:val="28"/>
          <w:highlight w:val="none"/>
        </w:rPr>
      </w:pPr>
    </w:p>
    <w:p>
      <w:pPr>
        <w:widowControl/>
        <w:spacing w:line="285" w:lineRule="atLeast"/>
        <w:ind w:firstLine="1699" w:firstLineChars="607"/>
        <w:jc w:val="left"/>
        <w:textAlignment w:val="bottom"/>
        <w:rPr>
          <w:rFonts w:ascii="宋体" w:hAnsi="宋体" w:cs="宋体"/>
          <w:color w:val="auto"/>
          <w:kern w:val="0"/>
          <w:sz w:val="28"/>
          <w:highlight w:val="none"/>
        </w:rPr>
      </w:pPr>
    </w:p>
    <w:p>
      <w:pPr>
        <w:widowControl/>
        <w:spacing w:line="285" w:lineRule="atLeast"/>
        <w:ind w:firstLine="1699" w:firstLineChars="607"/>
        <w:jc w:val="left"/>
        <w:textAlignment w:val="bottom"/>
        <w:rPr>
          <w:rFonts w:ascii="宋体" w:hAnsi="宋体" w:cs="宋体"/>
          <w:color w:val="auto"/>
          <w:kern w:val="0"/>
          <w:sz w:val="28"/>
          <w:highlight w:val="none"/>
        </w:rPr>
      </w:pPr>
    </w:p>
    <w:p>
      <w:pPr>
        <w:widowControl/>
        <w:spacing w:line="285" w:lineRule="atLeast"/>
        <w:ind w:firstLine="1699" w:firstLineChars="607"/>
        <w:jc w:val="left"/>
        <w:textAlignment w:val="bottom"/>
        <w:rPr>
          <w:rFonts w:ascii="宋体" w:hAnsi="宋体" w:cs="宋体"/>
          <w:color w:val="auto"/>
          <w:kern w:val="0"/>
          <w:sz w:val="28"/>
          <w:highlight w:val="none"/>
        </w:rPr>
      </w:pPr>
    </w:p>
    <w:p>
      <w:pPr>
        <w:widowControl/>
        <w:spacing w:line="285" w:lineRule="atLeast"/>
        <w:ind w:firstLine="560" w:firstLineChars="200"/>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根据《</w:t>
      </w:r>
      <w:r>
        <w:rPr>
          <w:rFonts w:hint="eastAsia" w:ascii="宋体" w:hAnsi="宋体" w:cs="Arial"/>
          <w:color w:val="auto"/>
          <w:sz w:val="28"/>
          <w:szCs w:val="28"/>
          <w:highlight w:val="none"/>
        </w:rPr>
        <w:t>中华人民共和国民法典</w:t>
      </w:r>
      <w:r>
        <w:rPr>
          <w:rFonts w:hint="eastAsia" w:ascii="宋体" w:hAnsi="宋体" w:cs="宋体"/>
          <w:color w:val="auto"/>
          <w:kern w:val="0"/>
          <w:sz w:val="28"/>
          <w:highlight w:val="none"/>
        </w:rPr>
        <w:t>》、《物业管理条例》和相关法律、法规、政策，甲乙双方在自愿、平等、协商一致的基础上，就乙方为甲方提供物业管理服务事宜，订立本合同。</w:t>
      </w:r>
    </w:p>
    <w:p>
      <w:pPr>
        <w:pStyle w:val="42"/>
        <w:widowControl/>
        <w:numPr>
          <w:ilvl w:val="0"/>
          <w:numId w:val="1"/>
        </w:numPr>
        <w:spacing w:line="285" w:lineRule="atLeast"/>
        <w:ind w:firstLineChars="0"/>
        <w:jc w:val="center"/>
        <w:textAlignment w:val="bottom"/>
        <w:rPr>
          <w:rFonts w:ascii="宋体" w:hAnsi="宋体" w:cs="宋体"/>
          <w:color w:val="auto"/>
          <w:kern w:val="0"/>
          <w:sz w:val="28"/>
          <w:szCs w:val="21"/>
          <w:highlight w:val="none"/>
        </w:rPr>
      </w:pPr>
      <w:r>
        <w:rPr>
          <w:rFonts w:hint="eastAsia" w:ascii="宋体" w:hAnsi="宋体" w:cs="宋体"/>
          <w:b/>
          <w:bCs/>
          <w:color w:val="auto"/>
          <w:kern w:val="0"/>
          <w:sz w:val="28"/>
          <w:szCs w:val="21"/>
          <w:highlight w:val="none"/>
        </w:rPr>
        <w:t>物业基本情况</w:t>
      </w:r>
    </w:p>
    <w:p>
      <w:pPr>
        <w:pStyle w:val="42"/>
        <w:widowControl/>
        <w:numPr>
          <w:ilvl w:val="0"/>
          <w:numId w:val="2"/>
        </w:numPr>
        <w:spacing w:line="285" w:lineRule="atLeast"/>
        <w:ind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甲方物业基本情况:</w:t>
      </w:r>
    </w:p>
    <w:p>
      <w:pPr>
        <w:widowControl/>
        <w:spacing w:line="285" w:lineRule="atLeast"/>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物业名称：</w:t>
      </w:r>
      <w:r>
        <w:rPr>
          <w:rFonts w:ascii="宋体" w:hAnsi="宋体" w:cs="宋体"/>
          <w:color w:val="auto"/>
          <w:kern w:val="0"/>
          <w:sz w:val="28"/>
          <w:highlight w:val="none"/>
          <w:u w:val="single"/>
        </w:rPr>
        <w:t>  </w:t>
      </w:r>
      <w:r>
        <w:rPr>
          <w:rFonts w:hint="eastAsia" w:ascii="宋体" w:hAnsi="宋体" w:cs="宋体"/>
          <w:color w:val="auto"/>
          <w:kern w:val="0"/>
          <w:sz w:val="28"/>
          <w:highlight w:val="none"/>
        </w:rPr>
        <w:t>；</w:t>
      </w:r>
    </w:p>
    <w:p>
      <w:pPr>
        <w:widowControl/>
        <w:spacing w:line="285" w:lineRule="atLeast"/>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物业类型：</w:t>
      </w:r>
      <w:r>
        <w:rPr>
          <w:rFonts w:ascii="宋体" w:hAnsi="宋体" w:cs="宋体"/>
          <w:color w:val="auto"/>
          <w:kern w:val="0"/>
          <w:sz w:val="28"/>
          <w:highlight w:val="none"/>
          <w:u w:val="single"/>
        </w:rPr>
        <w:t> </w:t>
      </w:r>
      <w:r>
        <w:rPr>
          <w:rFonts w:hint="eastAsia" w:ascii="宋体" w:hAnsi="宋体" w:cs="宋体"/>
          <w:color w:val="auto"/>
          <w:kern w:val="0"/>
          <w:sz w:val="28"/>
          <w:highlight w:val="none"/>
        </w:rPr>
        <w:t>；</w:t>
      </w:r>
    </w:p>
    <w:p>
      <w:pPr>
        <w:widowControl/>
        <w:spacing w:line="285" w:lineRule="atLeast"/>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座落位置：</w:t>
      </w:r>
      <w:r>
        <w:rPr>
          <w:rFonts w:hint="eastAsia" w:ascii="宋体" w:hAnsi="宋体"/>
          <w:color w:val="auto"/>
          <w:spacing w:val="-4"/>
          <w:sz w:val="28"/>
          <w:szCs w:val="28"/>
          <w:highlight w:val="none"/>
          <w:u w:val="single"/>
        </w:rPr>
        <w:t xml:space="preserve">厦门银城智谷号     单元（以下简称园区）   </w:t>
      </w:r>
      <w:r>
        <w:rPr>
          <w:rFonts w:hint="eastAsia" w:ascii="宋体" w:hAnsi="宋体" w:cs="宋体"/>
          <w:color w:val="auto"/>
          <w:kern w:val="0"/>
          <w:sz w:val="28"/>
          <w:highlight w:val="none"/>
        </w:rPr>
        <w:t>；</w:t>
      </w:r>
    </w:p>
    <w:p>
      <w:pPr>
        <w:widowControl/>
        <w:spacing w:line="285" w:lineRule="atLeast"/>
        <w:jc w:val="left"/>
        <w:textAlignment w:val="bottom"/>
        <w:rPr>
          <w:rFonts w:ascii="宋体" w:hAnsi="宋体" w:cs="宋体"/>
          <w:color w:val="auto"/>
          <w:kern w:val="0"/>
          <w:sz w:val="28"/>
          <w:highlight w:val="none"/>
        </w:rPr>
      </w:pPr>
      <w:r>
        <w:rPr>
          <w:rFonts w:hint="eastAsia" w:ascii="宋体" w:hAnsi="宋体" w:cs="宋体"/>
          <w:color w:val="auto"/>
          <w:kern w:val="0"/>
          <w:sz w:val="28"/>
          <w:highlight w:val="none"/>
        </w:rPr>
        <w:t>建筑面积：。</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服务内容与质量</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在物业管理区域内，乙方提供的物业管理服务包括以下内容：</w:t>
      </w:r>
    </w:p>
    <w:p>
      <w:pPr>
        <w:pStyle w:val="42"/>
        <w:widowControl/>
        <w:numPr>
          <w:ilvl w:val="0"/>
          <w:numId w:val="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物业公共区域的维修、养护和管理，包括公共道路、化粪池、污水井、雨水井、水泵、水箱、公共照明、公共消防设施、公共区域监控、公共信号塔、公共设施设备用房等；</w:t>
      </w:r>
    </w:p>
    <w:p>
      <w:pPr>
        <w:pStyle w:val="42"/>
        <w:widowControl/>
        <w:numPr>
          <w:ilvl w:val="0"/>
          <w:numId w:val="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物业公共设施设备的运行、维修、养护和管理；</w:t>
      </w:r>
    </w:p>
    <w:p>
      <w:pPr>
        <w:pStyle w:val="42"/>
        <w:widowControl/>
        <w:numPr>
          <w:ilvl w:val="0"/>
          <w:numId w:val="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物业公共部位和相关场地的清洁卫生，垃圾的收集、清运及雨、污水管道的疏通；</w:t>
      </w:r>
    </w:p>
    <w:p>
      <w:pPr>
        <w:pStyle w:val="42"/>
        <w:widowControl/>
        <w:numPr>
          <w:ilvl w:val="0"/>
          <w:numId w:val="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物业公共区域绿化的养护和管理；</w:t>
      </w:r>
    </w:p>
    <w:p>
      <w:pPr>
        <w:pStyle w:val="42"/>
        <w:widowControl/>
        <w:numPr>
          <w:ilvl w:val="0"/>
          <w:numId w:val="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olor w:val="auto"/>
          <w:sz w:val="30"/>
          <w:szCs w:val="30"/>
          <w:highlight w:val="none"/>
        </w:rPr>
        <w:t>车辆停放、秩序疏导；</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公共秩序维护、安全防范等事项的协助管理；</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园区物业公共区域微型消防服务站管理；</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 xml:space="preserve">物业使用中禁止行为的告知、劝阻、报告； </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物业设施设备维修、更新、改造费用的账务管理；</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装饰装修服务管理；</w:t>
      </w:r>
    </w:p>
    <w:p>
      <w:pPr>
        <w:pStyle w:val="42"/>
        <w:widowControl/>
        <w:numPr>
          <w:ilvl w:val="0"/>
          <w:numId w:val="3"/>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物业档案资料管理。</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甲方可根据自身需要委托乙方对其物业的专有部分提供维修、养护、保洁等服务，服务内容和费用由双方另行商定。</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乙方提供服务的受益人为本物业的全体业主和物业使用人，本物业的全体业主和物业使用人均应对履行本合同承担相应的责任。</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服务费用</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olor w:val="auto"/>
          <w:kern w:val="0"/>
          <w:sz w:val="28"/>
          <w:szCs w:val="28"/>
          <w:highlight w:val="none"/>
        </w:rPr>
        <w:t>相关费用</w:t>
      </w:r>
      <w:r>
        <w:rPr>
          <w:rFonts w:hint="eastAsia" w:ascii="宋体" w:hAnsi="宋体" w:cs="宋体"/>
          <w:color w:val="auto"/>
          <w:kern w:val="0"/>
          <w:sz w:val="28"/>
          <w:szCs w:val="21"/>
          <w:highlight w:val="none"/>
        </w:rPr>
        <w:t>根据甲方实际拥有的物业建筑面积，</w:t>
      </w:r>
      <w:r>
        <w:rPr>
          <w:rFonts w:hint="eastAsia" w:ascii="宋体" w:hAnsi="宋体"/>
          <w:color w:val="auto"/>
          <w:kern w:val="0"/>
          <w:sz w:val="28"/>
          <w:szCs w:val="28"/>
          <w:highlight w:val="none"/>
        </w:rPr>
        <w:t>按以下标准收取</w:t>
      </w:r>
      <w:r>
        <w:rPr>
          <w:rFonts w:hint="eastAsia" w:ascii="宋体" w:hAnsi="宋体" w:cs="宋体"/>
          <w:color w:val="auto"/>
          <w:kern w:val="0"/>
          <w:sz w:val="28"/>
          <w:szCs w:val="21"/>
          <w:highlight w:val="none"/>
        </w:rPr>
        <w:t xml:space="preserve">： </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物业服务费收费标准：按第条执行。</w:t>
      </w:r>
    </w:p>
    <w:p>
      <w:pPr>
        <w:pStyle w:val="42"/>
        <w:widowControl/>
        <w:spacing w:line="285" w:lineRule="atLeast"/>
        <w:ind w:left="1557" w:leftChars="471" w:hanging="568" w:hangingChars="203"/>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（1）多层、高层(100米以下)写字楼物业服务费收费标准：7元/（月·平方米），甲方按期交房入住，给予3年优惠期（</w:t>
      </w:r>
      <w:r>
        <w:rPr>
          <w:rFonts w:hint="eastAsia" w:ascii="宋体" w:hAnsi="宋体" w:cs="宋体"/>
          <w:color w:val="auto"/>
          <w:kern w:val="0"/>
          <w:sz w:val="28"/>
          <w:szCs w:val="21"/>
          <w:highlight w:val="none"/>
          <w:lang w:eastAsia="zh-CN"/>
        </w:rPr>
        <w:t xml:space="preserve"> 2024年</w:t>
      </w:r>
      <w:r>
        <w:rPr>
          <w:rFonts w:hint="eastAsia" w:ascii="宋体" w:hAnsi="宋体" w:cs="宋体"/>
          <w:color w:val="auto"/>
          <w:kern w:val="0"/>
          <w:sz w:val="28"/>
          <w:szCs w:val="21"/>
          <w:highlight w:val="none"/>
        </w:rPr>
        <w:t>内签约的业主给予4年优惠期），优惠期间物业服务费按3.5元/（月·平方米）收取。</w:t>
      </w:r>
    </w:p>
    <w:p>
      <w:pPr>
        <w:pStyle w:val="42"/>
        <w:widowControl/>
        <w:spacing w:line="285" w:lineRule="atLeast"/>
        <w:ind w:left="1557" w:leftChars="471" w:hanging="568" w:hangingChars="203"/>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（2）写字楼附属商业部分物业服务费收费标准：7元/（月·平方米），其甲方按期交房入住，给予3年优惠期（</w:t>
      </w:r>
      <w:r>
        <w:rPr>
          <w:rFonts w:hint="eastAsia" w:ascii="宋体" w:hAnsi="宋体" w:cs="宋体"/>
          <w:color w:val="auto"/>
          <w:kern w:val="0"/>
          <w:sz w:val="28"/>
          <w:szCs w:val="21"/>
          <w:highlight w:val="none"/>
          <w:lang w:eastAsia="zh-CN"/>
        </w:rPr>
        <w:t xml:space="preserve"> 2024年</w:t>
      </w:r>
      <w:r>
        <w:rPr>
          <w:rFonts w:hint="eastAsia" w:ascii="宋体" w:hAnsi="宋体" w:cs="宋体"/>
          <w:color w:val="auto"/>
          <w:kern w:val="0"/>
          <w:sz w:val="28"/>
          <w:szCs w:val="21"/>
          <w:highlight w:val="none"/>
        </w:rPr>
        <w:t>内签约的业主给予4年优惠期），优惠期间物业服务费按3.5元/（月·平方米）收取。</w:t>
      </w:r>
    </w:p>
    <w:p>
      <w:pPr>
        <w:pStyle w:val="42"/>
        <w:widowControl/>
        <w:spacing w:line="285" w:lineRule="atLeast"/>
        <w:ind w:left="1557" w:leftChars="471" w:hanging="568" w:hangingChars="203"/>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（3）超高层（100米及以上）写字楼物业服务费收费标准：</w:t>
      </w:r>
      <w:r>
        <w:rPr>
          <w:rFonts w:ascii="宋体" w:hAnsi="宋体" w:cs="宋体"/>
          <w:color w:val="auto"/>
          <w:kern w:val="0"/>
          <w:sz w:val="28"/>
          <w:szCs w:val="21"/>
          <w:highlight w:val="none"/>
        </w:rPr>
        <w:t>18</w:t>
      </w:r>
      <w:r>
        <w:rPr>
          <w:rFonts w:hint="eastAsia" w:ascii="宋体" w:hAnsi="宋体" w:cs="宋体"/>
          <w:color w:val="auto"/>
          <w:kern w:val="0"/>
          <w:sz w:val="28"/>
          <w:szCs w:val="21"/>
          <w:highlight w:val="none"/>
        </w:rPr>
        <w:t>元/（月·平方米）；</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专项维修资金（房屋公共维修金）标准：1.5元/（月·平方米）；</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固定车位物业服务费收费标准：</w:t>
      </w:r>
      <w:r>
        <w:rPr>
          <w:rFonts w:ascii="宋体" w:hAnsi="宋体"/>
          <w:color w:val="auto"/>
          <w:sz w:val="30"/>
          <w:szCs w:val="30"/>
          <w:highlight w:val="none"/>
        </w:rPr>
        <w:t>100</w:t>
      </w:r>
      <w:r>
        <w:rPr>
          <w:rFonts w:hint="eastAsia" w:ascii="宋体" w:hAnsi="宋体"/>
          <w:color w:val="auto"/>
          <w:sz w:val="30"/>
          <w:szCs w:val="30"/>
          <w:highlight w:val="none"/>
        </w:rPr>
        <w:t>元/（月·个）；</w:t>
      </w:r>
      <w:r>
        <w:rPr>
          <w:rFonts w:hint="eastAsia" w:ascii="宋体" w:hAnsi="宋体"/>
          <w:color w:val="auto"/>
          <w:sz w:val="30"/>
          <w:szCs w:val="30"/>
          <w:highlight w:val="none"/>
          <w:lang w:eastAsia="zh-CN"/>
        </w:rPr>
        <w:t xml:space="preserve"> 2024年</w:t>
      </w:r>
      <w:r>
        <w:rPr>
          <w:rFonts w:hint="eastAsia" w:ascii="宋体" w:hAnsi="宋体"/>
          <w:color w:val="auto"/>
          <w:sz w:val="30"/>
          <w:szCs w:val="30"/>
          <w:highlight w:val="none"/>
        </w:rPr>
        <w:t>签约的业主，入驻前两年免停车费用，但客户要求使用固定车位的，应承担车位的物业管理费。优惠期自交房之日起至年月日止共计24个月。</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公共临时停车位物业服务费：按发改委备案标准收取。</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公共水电分摊费用：按实际发生费用以甲方购房面积按相关规定分摊；</w:t>
      </w:r>
    </w:p>
    <w:p>
      <w:pPr>
        <w:pStyle w:val="42"/>
        <w:widowControl/>
        <w:numPr>
          <w:ilvl w:val="0"/>
          <w:numId w:val="4"/>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如遇厦门市最低工作、社平工资大幅上涨或累计大幅上涨，乙方可根据相关《</w:t>
      </w:r>
      <w:r>
        <w:rPr>
          <w:rFonts w:ascii="宋体" w:hAnsi="宋体"/>
          <w:color w:val="auto"/>
          <w:sz w:val="30"/>
          <w:szCs w:val="30"/>
          <w:highlight w:val="none"/>
        </w:rPr>
        <w:t>福建省物业管理条例</w:t>
      </w:r>
      <w:r>
        <w:rPr>
          <w:rFonts w:hint="eastAsia" w:ascii="宋体" w:hAnsi="宋体"/>
          <w:color w:val="auto"/>
          <w:sz w:val="30"/>
          <w:szCs w:val="30"/>
          <w:highlight w:val="none"/>
        </w:rPr>
        <w:t>》等相关法律法规进行费用调整。</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甲方建筑面积为：。</w:t>
      </w:r>
    </w:p>
    <w:p>
      <w:pPr>
        <w:pStyle w:val="42"/>
        <w:widowControl/>
        <w:numPr>
          <w:ilvl w:val="0"/>
          <w:numId w:val="5"/>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优惠期费用(</w:t>
      </w:r>
      <w:r>
        <w:rPr>
          <w:rFonts w:hint="eastAsia" w:ascii="宋体" w:hAnsi="宋体" w:cs="宋体"/>
          <w:color w:val="auto"/>
          <w:kern w:val="0"/>
          <w:sz w:val="28"/>
          <w:szCs w:val="21"/>
          <w:highlight w:val="none"/>
        </w:rPr>
        <w:t>甲方按期交房入住，入住后四年</w:t>
      </w:r>
      <w:r>
        <w:rPr>
          <w:rFonts w:hint="eastAsia" w:ascii="宋体" w:hAnsi="宋体"/>
          <w:color w:val="auto"/>
          <w:sz w:val="30"/>
          <w:szCs w:val="30"/>
          <w:highlight w:val="none"/>
        </w:rPr>
        <w:t>)：</w:t>
      </w:r>
    </w:p>
    <w:p>
      <w:pPr>
        <w:pStyle w:val="42"/>
        <w:widowControl/>
        <w:spacing w:line="285" w:lineRule="atLeast"/>
        <w:ind w:firstLine="1260" w:firstLineChars="45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（1）每月物业服务费用为人民币元整。</w:t>
      </w:r>
    </w:p>
    <w:p>
      <w:pPr>
        <w:pStyle w:val="42"/>
        <w:widowControl/>
        <w:spacing w:line="285" w:lineRule="atLeast"/>
        <w:ind w:firstLine="1260" w:firstLineChars="45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（2）年总费用为人民币元整。</w:t>
      </w:r>
    </w:p>
    <w:p>
      <w:pPr>
        <w:pStyle w:val="42"/>
        <w:widowControl/>
        <w:numPr>
          <w:ilvl w:val="0"/>
          <w:numId w:val="5"/>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优惠期到期后常规费用(</w:t>
      </w:r>
      <w:r>
        <w:rPr>
          <w:rFonts w:hint="eastAsia" w:ascii="宋体" w:hAnsi="宋体" w:cs="宋体"/>
          <w:color w:val="auto"/>
          <w:kern w:val="0"/>
          <w:sz w:val="28"/>
          <w:szCs w:val="21"/>
          <w:highlight w:val="none"/>
        </w:rPr>
        <w:t>甲方按期交房入住，入住后四年以后</w:t>
      </w:r>
      <w:r>
        <w:rPr>
          <w:rFonts w:hint="eastAsia" w:ascii="宋体" w:hAnsi="宋体"/>
          <w:color w:val="auto"/>
          <w:sz w:val="30"/>
          <w:szCs w:val="30"/>
          <w:highlight w:val="none"/>
        </w:rPr>
        <w:t>)：</w:t>
      </w:r>
    </w:p>
    <w:p>
      <w:pPr>
        <w:pStyle w:val="42"/>
        <w:widowControl/>
        <w:spacing w:line="285" w:lineRule="atLeast"/>
        <w:ind w:firstLine="1260" w:firstLineChars="45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（1）每月物业服务费用为人民币元整。</w:t>
      </w:r>
    </w:p>
    <w:p>
      <w:pPr>
        <w:pStyle w:val="42"/>
        <w:widowControl/>
        <w:spacing w:line="285" w:lineRule="atLeast"/>
        <w:ind w:firstLine="1260" w:firstLineChars="45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（2）年总费用为人民币元整。</w:t>
      </w:r>
    </w:p>
    <w:p>
      <w:pPr>
        <w:pStyle w:val="42"/>
        <w:widowControl/>
        <w:spacing w:line="285" w:lineRule="atLeast"/>
        <w:ind w:firstLine="1260" w:firstLineChars="450"/>
        <w:jc w:val="left"/>
        <w:textAlignment w:val="bottom"/>
        <w:rPr>
          <w:rFonts w:ascii="宋体" w:hAnsi="宋体" w:cs="宋体"/>
          <w:color w:val="auto"/>
          <w:kern w:val="0"/>
          <w:sz w:val="28"/>
          <w:szCs w:val="21"/>
          <w:highlight w:val="none"/>
        </w:rPr>
      </w:pP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每月日常专项维修资金（房屋公共维修金）费用为人民币</w:t>
      </w:r>
    </w:p>
    <w:p>
      <w:pPr>
        <w:pStyle w:val="42"/>
        <w:widowControl/>
        <w:spacing w:line="285" w:lineRule="atLeast"/>
        <w:ind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元整，年总费用为人民币元整，物业服务费用主要用于以下开支：</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相关物业服务人员的工资、社会保险和按规定提取的福利费等；</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物业公共部位、公共设施设备的日常运行管理费用；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物业公共区域清洁卫生费用；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物业公共区域绿化养护费用；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物业公共区域秩序维护费用；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项目物业工作人员办公费用；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物业管理企业固定资产折旧；</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物业公共部位、公共设施设备及公众责任保险费用；</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法定税费；</w:t>
      </w:r>
    </w:p>
    <w:p>
      <w:pPr>
        <w:pStyle w:val="42"/>
        <w:widowControl/>
        <w:numPr>
          <w:ilvl w:val="0"/>
          <w:numId w:val="6"/>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物业管理企业的利润。</w:t>
      </w:r>
    </w:p>
    <w:p>
      <w:pPr>
        <w:pStyle w:val="42"/>
        <w:widowControl/>
        <w:numPr>
          <w:ilvl w:val="0"/>
          <w:numId w:val="2"/>
        </w:numPr>
        <w:spacing w:line="285" w:lineRule="atLeast"/>
        <w:ind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甲方应于</w:t>
      </w:r>
      <w:r>
        <w:rPr>
          <w:rFonts w:hint="eastAsia" w:ascii="宋体" w:hAnsi="宋体" w:cs="宋体"/>
          <w:color w:val="auto"/>
          <w:kern w:val="0"/>
          <w:sz w:val="28"/>
          <w:szCs w:val="21"/>
          <w:highlight w:val="none"/>
          <w:lang w:eastAsia="zh-CN"/>
        </w:rPr>
        <w:t xml:space="preserve"> 2024年</w:t>
      </w:r>
      <w:r>
        <w:rPr>
          <w:rFonts w:hint="eastAsia" w:ascii="宋体" w:hAnsi="宋体" w:cs="宋体"/>
          <w:color w:val="auto"/>
          <w:kern w:val="0"/>
          <w:sz w:val="28"/>
          <w:szCs w:val="21"/>
          <w:highlight w:val="none"/>
        </w:rPr>
        <w:t xml:space="preserve">  月   日物业交付之日起交纳物业服务费用。</w:t>
      </w:r>
    </w:p>
    <w:p>
      <w:pPr>
        <w:pStyle w:val="42"/>
        <w:widowControl/>
        <w:numPr>
          <w:ilvl w:val="0"/>
          <w:numId w:val="7"/>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olor w:val="auto"/>
          <w:sz w:val="30"/>
          <w:szCs w:val="30"/>
          <w:highlight w:val="none"/>
        </w:rPr>
        <w:t>物业服务费用及日常专项维修资金按季交纳，甲方应在每年的2</w:t>
      </w:r>
      <w:r>
        <w:rPr>
          <w:rFonts w:ascii="宋体" w:hAnsi="宋体"/>
          <w:color w:val="auto"/>
          <w:sz w:val="30"/>
          <w:szCs w:val="30"/>
          <w:highlight w:val="none"/>
        </w:rPr>
        <w:t>月</w:t>
      </w:r>
      <w:r>
        <w:rPr>
          <w:rFonts w:hint="eastAsia" w:ascii="宋体" w:hAnsi="宋体"/>
          <w:color w:val="auto"/>
          <w:sz w:val="30"/>
          <w:szCs w:val="30"/>
          <w:highlight w:val="none"/>
        </w:rPr>
        <w:t>15日（</w:t>
      </w:r>
      <w:r>
        <w:rPr>
          <w:rFonts w:hint="eastAsia" w:ascii="宋体" w:hAnsi="宋体"/>
          <w:color w:val="auto"/>
          <w:sz w:val="30"/>
          <w:szCs w:val="30"/>
          <w:highlight w:val="none"/>
          <w:u w:val="single"/>
        </w:rPr>
        <w:t>1-3</w:t>
      </w:r>
      <w:r>
        <w:rPr>
          <w:rFonts w:hint="eastAsia" w:ascii="宋体" w:hAnsi="宋体"/>
          <w:color w:val="auto"/>
          <w:sz w:val="30"/>
          <w:szCs w:val="30"/>
          <w:highlight w:val="none"/>
        </w:rPr>
        <w:t>月）、5</w:t>
      </w:r>
      <w:r>
        <w:rPr>
          <w:rFonts w:ascii="宋体" w:hAnsi="宋体"/>
          <w:color w:val="auto"/>
          <w:sz w:val="30"/>
          <w:szCs w:val="30"/>
          <w:highlight w:val="none"/>
        </w:rPr>
        <w:t>月</w:t>
      </w:r>
      <w:r>
        <w:rPr>
          <w:rFonts w:hint="eastAsia" w:ascii="宋体" w:hAnsi="宋体"/>
          <w:color w:val="auto"/>
          <w:sz w:val="30"/>
          <w:szCs w:val="30"/>
          <w:highlight w:val="none"/>
        </w:rPr>
        <w:t>15日（</w:t>
      </w:r>
      <w:r>
        <w:rPr>
          <w:rFonts w:hint="eastAsia" w:ascii="宋体" w:hAnsi="宋体"/>
          <w:color w:val="auto"/>
          <w:sz w:val="30"/>
          <w:szCs w:val="30"/>
          <w:highlight w:val="none"/>
          <w:u w:val="single"/>
        </w:rPr>
        <w:t>4-6</w:t>
      </w:r>
      <w:r>
        <w:rPr>
          <w:rFonts w:hint="eastAsia" w:ascii="宋体" w:hAnsi="宋体"/>
          <w:color w:val="auto"/>
          <w:sz w:val="30"/>
          <w:szCs w:val="30"/>
          <w:highlight w:val="none"/>
        </w:rPr>
        <w:t>月）、8</w:t>
      </w:r>
      <w:r>
        <w:rPr>
          <w:rFonts w:ascii="宋体" w:hAnsi="宋体"/>
          <w:color w:val="auto"/>
          <w:sz w:val="30"/>
          <w:szCs w:val="30"/>
          <w:highlight w:val="none"/>
        </w:rPr>
        <w:t>月</w:t>
      </w:r>
      <w:r>
        <w:rPr>
          <w:rFonts w:hint="eastAsia" w:ascii="宋体" w:hAnsi="宋体"/>
          <w:color w:val="auto"/>
          <w:sz w:val="30"/>
          <w:szCs w:val="30"/>
          <w:highlight w:val="none"/>
        </w:rPr>
        <w:t>15日（</w:t>
      </w:r>
      <w:r>
        <w:rPr>
          <w:rFonts w:hint="eastAsia" w:ascii="宋体" w:hAnsi="宋体"/>
          <w:color w:val="auto"/>
          <w:sz w:val="30"/>
          <w:szCs w:val="30"/>
          <w:highlight w:val="none"/>
          <w:u w:val="single"/>
        </w:rPr>
        <w:t>7-9</w:t>
      </w:r>
      <w:r>
        <w:rPr>
          <w:rFonts w:hint="eastAsia" w:ascii="宋体" w:hAnsi="宋体"/>
          <w:color w:val="auto"/>
          <w:sz w:val="30"/>
          <w:szCs w:val="30"/>
          <w:highlight w:val="none"/>
        </w:rPr>
        <w:t>月）、11</w:t>
      </w:r>
      <w:r>
        <w:rPr>
          <w:rFonts w:ascii="宋体" w:hAnsi="宋体"/>
          <w:color w:val="auto"/>
          <w:sz w:val="30"/>
          <w:szCs w:val="30"/>
          <w:highlight w:val="none"/>
        </w:rPr>
        <w:t>月</w:t>
      </w:r>
      <w:r>
        <w:rPr>
          <w:rFonts w:hint="eastAsia" w:ascii="宋体" w:hAnsi="宋体"/>
          <w:color w:val="auto"/>
          <w:sz w:val="30"/>
          <w:szCs w:val="30"/>
          <w:highlight w:val="none"/>
        </w:rPr>
        <w:t>15日（</w:t>
      </w:r>
      <w:r>
        <w:rPr>
          <w:rFonts w:hint="eastAsia" w:ascii="宋体" w:hAnsi="宋体"/>
          <w:color w:val="auto"/>
          <w:sz w:val="30"/>
          <w:szCs w:val="30"/>
          <w:highlight w:val="none"/>
          <w:u w:val="single"/>
        </w:rPr>
        <w:t>10-12</w:t>
      </w:r>
      <w:r>
        <w:rPr>
          <w:rFonts w:hint="eastAsia" w:ascii="宋体" w:hAnsi="宋体"/>
          <w:color w:val="auto"/>
          <w:sz w:val="30"/>
          <w:szCs w:val="30"/>
          <w:highlight w:val="none"/>
        </w:rPr>
        <w:t>月）履行交纳当季度物业服务费用、日常专项维修资金及乙方代垫缴交相关费用的义务。其中每季度物业服务费为人民币元整。每季度日常专项维修资金（房屋公共维修金）费用为人民币元整，乙方代垫缴交的相关费用按照实际产生费用足额缴纳。</w:t>
      </w:r>
    </w:p>
    <w:p>
      <w:pPr>
        <w:pStyle w:val="42"/>
        <w:widowControl/>
        <w:numPr>
          <w:ilvl w:val="0"/>
          <w:numId w:val="7"/>
        </w:numPr>
        <w:spacing w:line="285" w:lineRule="atLeast"/>
        <w:ind w:left="567" w:firstLine="0" w:firstLineChars="0"/>
        <w:jc w:val="left"/>
        <w:textAlignment w:val="bottom"/>
        <w:rPr>
          <w:rFonts w:ascii="宋体" w:hAnsi="宋体"/>
          <w:color w:val="auto"/>
          <w:sz w:val="30"/>
          <w:szCs w:val="30"/>
          <w:highlight w:val="none"/>
        </w:rPr>
      </w:pPr>
      <w:r>
        <w:rPr>
          <w:rFonts w:hint="eastAsia" w:ascii="宋体" w:hAnsi="宋体" w:cs="宋体"/>
          <w:color w:val="auto"/>
          <w:kern w:val="0"/>
          <w:sz w:val="28"/>
          <w:szCs w:val="21"/>
          <w:highlight w:val="none"/>
        </w:rPr>
        <w:t>甲方在收到乙方开具的发票后7个工作日内完成付款，即以转账至乙方指定的银行账户内。</w:t>
      </w:r>
    </w:p>
    <w:p>
      <w:pPr>
        <w:pStyle w:val="42"/>
        <w:widowControl/>
        <w:spacing w:line="285" w:lineRule="atLeast"/>
        <w:ind w:left="72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银行账户信息如下：</w:t>
      </w:r>
      <w:r>
        <w:rPr>
          <w:rFonts w:hint="eastAsia" w:ascii="宋体" w:hAnsi="宋体" w:cs="宋体"/>
          <w:color w:val="auto"/>
          <w:kern w:val="0"/>
          <w:sz w:val="28"/>
          <w:szCs w:val="21"/>
          <w:highlight w:val="none"/>
        </w:rPr>
        <w:cr/>
      </w:r>
      <w:r>
        <w:rPr>
          <w:rFonts w:hint="eastAsia" w:ascii="宋体" w:hAnsi="宋体" w:cs="宋体"/>
          <w:color w:val="auto"/>
          <w:kern w:val="0"/>
          <w:sz w:val="28"/>
          <w:szCs w:val="21"/>
          <w:highlight w:val="none"/>
        </w:rPr>
        <w:t>开户银行：</w:t>
      </w:r>
      <w:r>
        <w:rPr>
          <w:rFonts w:hint="eastAsia" w:ascii="宋体" w:hAnsi="宋体" w:cs="宋体"/>
          <w:color w:val="auto"/>
          <w:kern w:val="0"/>
          <w:sz w:val="28"/>
          <w:szCs w:val="21"/>
          <w:highlight w:val="none"/>
          <w:u w:val="single"/>
        </w:rPr>
        <w:t>兴业银行股份有限公司厦门新港支行</w:t>
      </w:r>
      <w:r>
        <w:rPr>
          <w:rFonts w:hint="eastAsia" w:ascii="宋体" w:hAnsi="宋体" w:cs="宋体"/>
          <w:color w:val="auto"/>
          <w:kern w:val="0"/>
          <w:sz w:val="28"/>
          <w:szCs w:val="21"/>
          <w:highlight w:val="none"/>
        </w:rPr>
        <w:cr/>
      </w:r>
      <w:r>
        <w:rPr>
          <w:rFonts w:hint="eastAsia" w:ascii="宋体" w:hAnsi="宋体" w:cs="宋体"/>
          <w:color w:val="auto"/>
          <w:kern w:val="0"/>
          <w:sz w:val="28"/>
          <w:szCs w:val="21"/>
          <w:highlight w:val="none"/>
        </w:rPr>
        <w:t>账  号：</w:t>
      </w:r>
      <w:r>
        <w:rPr>
          <w:rFonts w:hint="eastAsia" w:ascii="宋体" w:hAnsi="宋体" w:cs="宋体"/>
          <w:color w:val="auto"/>
          <w:kern w:val="0"/>
          <w:sz w:val="28"/>
          <w:szCs w:val="21"/>
          <w:highlight w:val="none"/>
          <w:u w:val="single"/>
        </w:rPr>
        <w:t xml:space="preserve">      129380100100108651        </w:t>
      </w:r>
    </w:p>
    <w:p>
      <w:pPr>
        <w:pStyle w:val="42"/>
        <w:widowControl/>
        <w:numPr>
          <w:ilvl w:val="0"/>
          <w:numId w:val="7"/>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日常专项维修资金（房屋公共维修金）专户信息如下：</w:t>
      </w:r>
    </w:p>
    <w:p>
      <w:pPr>
        <w:pStyle w:val="42"/>
        <w:widowControl/>
        <w:spacing w:line="285" w:lineRule="atLeast"/>
        <w:ind w:left="72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开户银行：</w:t>
      </w:r>
      <w:r>
        <w:rPr>
          <w:rFonts w:hint="eastAsia" w:ascii="宋体" w:hAnsi="宋体" w:cs="宋体"/>
          <w:color w:val="auto"/>
          <w:kern w:val="0"/>
          <w:sz w:val="28"/>
          <w:szCs w:val="21"/>
          <w:highlight w:val="none"/>
          <w:u w:val="single"/>
        </w:rPr>
        <w:t xml:space="preserve"> 兴业银行股份有限公司厦门新港支行   </w:t>
      </w:r>
      <w:r>
        <w:rPr>
          <w:rFonts w:hint="eastAsia" w:ascii="宋体" w:hAnsi="宋体" w:cs="宋体"/>
          <w:color w:val="auto"/>
          <w:kern w:val="0"/>
          <w:sz w:val="28"/>
          <w:szCs w:val="21"/>
          <w:highlight w:val="none"/>
        </w:rPr>
        <w:cr/>
      </w:r>
      <w:r>
        <w:rPr>
          <w:rFonts w:hint="eastAsia" w:ascii="宋体" w:hAnsi="宋体" w:cs="宋体"/>
          <w:color w:val="auto"/>
          <w:kern w:val="0"/>
          <w:sz w:val="28"/>
          <w:szCs w:val="21"/>
          <w:highlight w:val="none"/>
        </w:rPr>
        <w:t>账  号：</w:t>
      </w:r>
      <w:r>
        <w:rPr>
          <w:rFonts w:hint="eastAsia" w:ascii="宋体" w:hAnsi="宋体" w:cs="宋体"/>
          <w:color w:val="auto"/>
          <w:kern w:val="0"/>
          <w:sz w:val="28"/>
          <w:szCs w:val="21"/>
          <w:highlight w:val="none"/>
          <w:u w:val="single"/>
        </w:rPr>
        <w:t xml:space="preserve">      129380100100108651      </w:t>
      </w:r>
    </w:p>
    <w:p>
      <w:pPr>
        <w:pStyle w:val="42"/>
        <w:widowControl/>
        <w:numPr>
          <w:ilvl w:val="0"/>
          <w:numId w:val="2"/>
        </w:numPr>
        <w:spacing w:line="285" w:lineRule="atLeast"/>
        <w:ind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甲方如未按时交纳物业服务等相关费用，逾期30日及以上者，乙方有权采取停水、停电等相关措施进行催缴。</w:t>
      </w:r>
    </w:p>
    <w:p>
      <w:pPr>
        <w:pStyle w:val="42"/>
        <w:widowControl/>
        <w:numPr>
          <w:ilvl w:val="0"/>
          <w:numId w:val="2"/>
        </w:numPr>
        <w:spacing w:line="285" w:lineRule="atLeast"/>
        <w:ind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w:t>
      </w:r>
      <w:r>
        <w:rPr>
          <w:rFonts w:ascii="宋体" w:hAnsi="宋体" w:cs="宋体"/>
          <w:color w:val="auto"/>
          <w:kern w:val="0"/>
          <w:sz w:val="28"/>
          <w:szCs w:val="21"/>
          <w:highlight w:val="none"/>
        </w:rPr>
        <w:t>利用物业管理区域内共用部位、共用设施设备进行公开经营</w:t>
      </w:r>
      <w:r>
        <w:rPr>
          <w:rFonts w:hint="eastAsia" w:ascii="宋体" w:hAnsi="宋体" w:cs="宋体"/>
          <w:color w:val="auto"/>
          <w:kern w:val="0"/>
          <w:sz w:val="28"/>
          <w:szCs w:val="21"/>
          <w:highlight w:val="none"/>
        </w:rPr>
        <w:t>，</w:t>
      </w:r>
    </w:p>
    <w:p>
      <w:pPr>
        <w:pStyle w:val="42"/>
        <w:widowControl/>
        <w:spacing w:line="285" w:lineRule="atLeast"/>
        <w:ind w:firstLine="0"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所产生的公共收益按照</w:t>
      </w:r>
      <w:r>
        <w:rPr>
          <w:rFonts w:hint="eastAsia" w:ascii="宋体" w:hAnsi="宋体" w:cs="宋体"/>
          <w:color w:val="auto"/>
          <w:kern w:val="0"/>
          <w:sz w:val="28"/>
          <w:szCs w:val="21"/>
          <w:highlight w:val="none"/>
        </w:rPr>
        <w:t>《</w:t>
      </w:r>
      <w:r>
        <w:rPr>
          <w:rFonts w:ascii="宋体" w:hAnsi="宋体" w:cs="宋体"/>
          <w:color w:val="auto"/>
          <w:kern w:val="0"/>
          <w:sz w:val="28"/>
          <w:szCs w:val="21"/>
          <w:highlight w:val="none"/>
        </w:rPr>
        <w:t>福建省物业管理条例</w:t>
      </w:r>
      <w:r>
        <w:rPr>
          <w:rFonts w:hint="eastAsia" w:ascii="宋体" w:hAnsi="宋体" w:cs="宋体"/>
          <w:color w:val="auto"/>
          <w:kern w:val="0"/>
          <w:sz w:val="28"/>
          <w:szCs w:val="21"/>
          <w:highlight w:val="none"/>
        </w:rPr>
        <w:t>》提取百分之三十作为</w:t>
      </w:r>
      <w:r>
        <w:rPr>
          <w:rFonts w:ascii="宋体" w:hAnsi="宋体" w:cs="宋体"/>
          <w:color w:val="auto"/>
          <w:kern w:val="0"/>
          <w:sz w:val="28"/>
          <w:szCs w:val="21"/>
          <w:highlight w:val="none"/>
        </w:rPr>
        <w:t>物业服务企业的经营管理费用，剩余公共收益纳入专项维修资金专户。</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物业的经营与管理</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使用建筑物及其附属设施日常专项维修资金的，乙方按照相关规定提出建筑物及其附属设施日常专项维修资金使用方案。乙方应当将建筑物及其附属设施维修资金使用方案、所需资金、工程进展以及资金划拨等情况在园区内进行公布；每年六月、十二月进行公布建筑物及其附属设施维修资金使用情况；政府相关部门有特别规定的，从其规定。</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乙方接受甲方及供水、供电、供气、信息、环卫等专业单位的委托，进行代收代缴水、电、气、信息、环卫等费用。</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非正常工作日和非正常工作时间使用水、电、气、冷等区域公共能耗产生的费用，采用谁申请使用谁承担的原则，由申请人承担使用期间产生的相关费用，具体收费标准按照园区具体实施办法执行。</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乙方协助业主配合有关部门、单位做好园区内计划生育、流动人口管理、犬只管理等工作。</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乙方严格执行《厦门经济特区生活垃圾分类管理办法》，做好园区垃圾分类的管理工作。</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物业的使用与维护</w:t>
      </w:r>
      <w:r>
        <w:rPr>
          <w:rFonts w:ascii="宋体" w:hAnsi="宋体" w:cs="宋体"/>
          <w:color w:val="auto"/>
          <w:kern w:val="0"/>
          <w:sz w:val="28"/>
          <w:szCs w:val="21"/>
          <w:highlight w:val="none"/>
        </w:rPr>
        <w:t> </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乙方制定本项目公共区域内物业公共部位和公共设施设备的使用、公共秩序和环境卫生的维护等方面的规章制度。</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乙方根据规章制度提供管理服务时，甲方应给予必要配合。</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乙方可采取规劝、制止、向相关主管部门反映等必要措施，制止甲方违反本临时公约和物业管理区域内物业管理规章制度的行为。</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乙方应及时向甲方通告本物业管理区域内有关物业管理的重大事项，及时处理甲方的投诉，接受甲方的监督。</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因维修物业或者公共利益，甲方确需临时占用、挖掘本物业管理区域内道路、场地的，应征得开发承建方和乙方的同意；乙方确需临时占用、挖掘本物业管理区域内道路、场地的，应征得相关业主的同意。</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相关单位临时占用、挖掘本物业管理区域内道路、场地的，应在约定期限内恢复原状。</w:t>
      </w:r>
    </w:p>
    <w:p>
      <w:pPr>
        <w:pStyle w:val="42"/>
        <w:widowControl/>
        <w:numPr>
          <w:ilvl w:val="0"/>
          <w:numId w:val="1"/>
        </w:numPr>
        <w:spacing w:line="285" w:lineRule="atLeast"/>
        <w:ind w:firstLineChars="0"/>
        <w:jc w:val="center"/>
        <w:textAlignment w:val="bottom"/>
        <w:rPr>
          <w:rFonts w:ascii="宋体" w:hAnsi="宋体" w:cs="宋体"/>
          <w:b/>
          <w:color w:val="auto"/>
          <w:kern w:val="0"/>
          <w:sz w:val="28"/>
          <w:szCs w:val="21"/>
          <w:highlight w:val="none"/>
        </w:rPr>
      </w:pPr>
      <w:r>
        <w:rPr>
          <w:rFonts w:hint="eastAsia" w:ascii="宋体" w:hAnsi="宋体" w:cs="宋体"/>
          <w:b/>
          <w:color w:val="auto"/>
          <w:kern w:val="0"/>
          <w:sz w:val="28"/>
          <w:szCs w:val="21"/>
          <w:highlight w:val="none"/>
        </w:rPr>
        <w:t>装修管理</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规范二次装修管理，防止出现破坏房屋主体结构和承重结构、改变物业使用功能、破坏物业外观等现象，以使得物业保值增值。</w:t>
      </w:r>
    </w:p>
    <w:p>
      <w:pPr>
        <w:numPr>
          <w:ilvl w:val="0"/>
          <w:numId w:val="8"/>
        </w:numPr>
        <w:spacing w:line="360" w:lineRule="auto"/>
        <w:contextualSpacing/>
        <w:rPr>
          <w:rFonts w:ascii="宋体" w:hAnsi="宋体"/>
          <w:color w:val="auto"/>
          <w:sz w:val="24"/>
          <w:highlight w:val="none"/>
        </w:rPr>
      </w:pPr>
      <w:r>
        <w:rPr>
          <w:rFonts w:hint="eastAsia" w:ascii="宋体" w:hAnsi="宋体" w:cs="宋体"/>
          <w:color w:val="auto"/>
          <w:kern w:val="0"/>
          <w:sz w:val="28"/>
          <w:highlight w:val="none"/>
        </w:rPr>
        <w:t>装修申请：</w:t>
      </w:r>
    </w:p>
    <w:p>
      <w:pPr>
        <w:numPr>
          <w:ilvl w:val="0"/>
          <w:numId w:val="9"/>
        </w:numPr>
        <w:spacing w:line="360" w:lineRule="auto"/>
        <w:ind w:left="418"/>
        <w:contextualSpacing/>
        <w:rPr>
          <w:rFonts w:ascii="宋体" w:hAnsi="宋体" w:cs="宋体"/>
          <w:color w:val="auto"/>
          <w:kern w:val="0"/>
          <w:sz w:val="28"/>
          <w:highlight w:val="none"/>
        </w:rPr>
      </w:pPr>
      <w:r>
        <w:rPr>
          <w:rFonts w:hint="eastAsia" w:ascii="宋体" w:hAnsi="宋体" w:cs="宋体"/>
          <w:color w:val="auto"/>
          <w:kern w:val="0"/>
          <w:sz w:val="28"/>
          <w:highlight w:val="none"/>
        </w:rPr>
        <w:t>甲方提供需装修物业的装修方案和装修施工作业图，填写《装修申请表》，缴交土头清运费、装修保证金。（装修保证金依据施工工程量由甲方核定）</w:t>
      </w:r>
    </w:p>
    <w:p>
      <w:pPr>
        <w:spacing w:line="360" w:lineRule="auto"/>
        <w:ind w:left="418"/>
        <w:contextualSpacing/>
        <w:rPr>
          <w:rFonts w:ascii="宋体" w:hAnsi="宋体" w:cs="宋体"/>
          <w:color w:val="auto"/>
          <w:kern w:val="0"/>
          <w:sz w:val="24"/>
          <w:highlight w:val="none"/>
        </w:rPr>
      </w:pPr>
      <w:r>
        <w:rPr>
          <w:rFonts w:hint="eastAsia" w:ascii="宋体" w:hAnsi="宋体" w:cs="宋体"/>
          <w:color w:val="auto"/>
          <w:kern w:val="0"/>
          <w:sz w:val="28"/>
          <w:highlight w:val="none"/>
        </w:rPr>
        <w:t>（2）经乙方装修审核通过后，甲方与乙方签订书面的装饰装修管理服务协议，就允许施工的时间、废弃物的清运与处置、装修管理服务费用等事项进行约定，乙方应事先告知甲方装饰装修中的禁止行为和注意事项。</w:t>
      </w:r>
    </w:p>
    <w:p>
      <w:pPr>
        <w:numPr>
          <w:ilvl w:val="0"/>
          <w:numId w:val="8"/>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装修审核</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乙方工作人员根据相关法律法规、管理规约和所装修物业的特点，认真审查装修方案和施工作业图；</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检查房屋承重结构(墙、柱、梁、板等)、防水层、移动水、电、煤、通讯、有线电视主干线等是否存在破坏隐患，装修对原有水电设施的布局和容量设计上是否存在扩出原有容量及做重大的改动设计，其设计是否影响毗邻房产及现有物业的安全及正常使用；与大厦内水、电、空调冷冻水管道进行接驳时应在容量允许的情况下，确定接驳点，并在设计图上说明；</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检查室外空调机的安装是否按指定位置，其冷凝水排放是否影响周围环境及其他住户，是否影响毗邻方利益；</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施工现场管理</w:t>
      </w:r>
    </w:p>
    <w:p>
      <w:pPr>
        <w:numPr>
          <w:ilvl w:val="0"/>
          <w:numId w:val="11"/>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施工人员管理：施工人员凭出入证进出辖区，短时间施工的工人进行“来访登记”后方可进出辖区，施工人员需遵守辖区的各项规定，不得到与其工作无关的区域逗留；</w:t>
      </w:r>
    </w:p>
    <w:p>
      <w:pPr>
        <w:numPr>
          <w:ilvl w:val="0"/>
          <w:numId w:val="11"/>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施工现场物资出入管理：严禁携带易燃易爆物品（除装修用的油漆等物品外）进入装修现场；施工人员出场时，维序员应对所携带的装修材料进行检查，应经客户确认（必要时要出具书面证明）后，方可放行；</w:t>
      </w:r>
    </w:p>
    <w:p>
      <w:pPr>
        <w:numPr>
          <w:ilvl w:val="0"/>
          <w:numId w:val="11"/>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使用电梯运输装修材料或垃圾，严禁超载或材料堆放受力不均，不得影响电梯的正常使用，造成电梯损坏的需赔偿；装修垃圾要求堆放于指定地点；装修材料或垃圾堆放于公共场所或消防通道不得超过24小时；</w:t>
      </w:r>
    </w:p>
    <w:p>
      <w:pPr>
        <w:numPr>
          <w:ilvl w:val="0"/>
          <w:numId w:val="11"/>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乙方工作人员在每个工作日必须对施工现场进行检查，发现违规现象应及时纠正，检查情况填写于《二次装修检查记录表》，对重大违规现象要开具《整改通知单》责成施工方整改；</w:t>
      </w:r>
    </w:p>
    <w:p>
      <w:pPr>
        <w:numPr>
          <w:ilvl w:val="0"/>
          <w:numId w:val="11"/>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装修后期工作检查重点：是否存在防火安全隐患；检查消防通道及公共区域，发现被杂物堵塞或占用，应及时通知装修户清运；检查消防设施完好情况；环境管理员每日多次清理电梯门缝尘土（可使用小刷子），确保电梯的正常使用；</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装修工程竣工后，服务处组织验收，填写《装修验收表》。装修验收查看是否有改变使用用途，是否影响外观，是否违反其他相关规定，空调外机是否按指定位置设置，冷凝水的排放等；</w:t>
      </w:r>
    </w:p>
    <w:p>
      <w:pPr>
        <w:numPr>
          <w:ilvl w:val="0"/>
          <w:numId w:val="10"/>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装修押金的管理</w:t>
      </w:r>
    </w:p>
    <w:p>
      <w:pPr>
        <w:numPr>
          <w:ilvl w:val="0"/>
          <w:numId w:val="12"/>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验收完成后，确定无违规现象，经下一层客户确认未发现渗漏水，物业现场负责人审批《装修验收表》，并在5个工作日后告知甲方办理押金退还手续；</w:t>
      </w:r>
    </w:p>
    <w:p>
      <w:pPr>
        <w:numPr>
          <w:ilvl w:val="0"/>
          <w:numId w:val="12"/>
        </w:numPr>
        <w:spacing w:line="360" w:lineRule="auto"/>
        <w:contextualSpacing/>
        <w:rPr>
          <w:rFonts w:ascii="宋体" w:hAnsi="宋体" w:cs="宋体"/>
          <w:color w:val="auto"/>
          <w:kern w:val="0"/>
          <w:sz w:val="28"/>
          <w:highlight w:val="none"/>
        </w:rPr>
      </w:pPr>
      <w:r>
        <w:rPr>
          <w:rFonts w:hint="eastAsia" w:ascii="宋体" w:hAnsi="宋体" w:cs="宋体"/>
          <w:color w:val="auto"/>
          <w:kern w:val="0"/>
          <w:sz w:val="28"/>
          <w:highlight w:val="none"/>
        </w:rPr>
        <w:t>验收完成后，经整改即可纠正的轻微违规现象，应责令客户整改，如果客户拒不整改，视情况扣除押金；若属严重违规的(如破坏承重结构等)，报相关行政执法部门处理；</w:t>
      </w:r>
    </w:p>
    <w:p>
      <w:pPr>
        <w:pStyle w:val="42"/>
        <w:widowControl/>
        <w:spacing w:line="285" w:lineRule="atLeast"/>
        <w:ind w:firstLine="0" w:firstLineChars="0"/>
        <w:jc w:val="left"/>
        <w:textAlignment w:val="bottom"/>
        <w:rPr>
          <w:rFonts w:ascii="宋体" w:hAnsi="宋体" w:cs="宋体"/>
          <w:color w:val="auto"/>
          <w:kern w:val="0"/>
          <w:sz w:val="28"/>
          <w:szCs w:val="21"/>
          <w:highlight w:val="none"/>
        </w:rPr>
      </w:pP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color w:val="auto"/>
          <w:kern w:val="0"/>
          <w:sz w:val="28"/>
          <w:szCs w:val="21"/>
          <w:highlight w:val="none"/>
        </w:rPr>
        <w:t>日常</w:t>
      </w:r>
      <w:r>
        <w:rPr>
          <w:rFonts w:hint="eastAsia" w:ascii="宋体" w:hAnsi="宋体" w:cs="宋体"/>
          <w:b/>
          <w:bCs/>
          <w:color w:val="auto"/>
          <w:kern w:val="0"/>
          <w:sz w:val="28"/>
          <w:szCs w:val="21"/>
          <w:highlight w:val="none"/>
        </w:rPr>
        <w:t>专项维修资金</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日常专项维修资金即房屋公共维修金，用于房屋本体及园区公共部位、公共设备的维修、更新、改造等。</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乙方根据《厦门市房屋公共维修金管理规定》制订《园区公共维修金管理规定》，经过业主单位审核批准后实行。</w:t>
      </w:r>
      <w:r>
        <w:rPr>
          <w:rFonts w:ascii="宋体" w:hAnsi="宋体" w:cs="宋体"/>
          <w:color w:val="auto"/>
          <w:kern w:val="0"/>
          <w:sz w:val="28"/>
          <w:szCs w:val="21"/>
          <w:highlight w:val="none"/>
        </w:rPr>
        <w:t> </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甲乙双方权利与义务</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 xml:space="preserve">甲方相关的权利义务： </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遵守《银城智谷园区管理规约》，监督检查乙方各项方案和计划的实施。</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不干涉乙方依法或依本合同约定所进行的物业管理服务。</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不得擅自改变本物业的公共建筑、公共部位、公共设施设备的使用功能，确因完善本物业的配套设施而需改变公共建筑、公共部位、公共设施设备的使用功能，应报有关部门批准实施。</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自觉遵守《银城智谷园区管理规约》，并授权乙方对业主、使用人违反《银城智谷园区管理规约》的行为，依照《银城智谷园区管理规约》的约定进行劝阻、制止；</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按照《厦门市物业管理若干规定》的规定缴存建筑物及其附属设施日常专项维修资金；</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法律、法规规定的其他权利义务。</w:t>
      </w:r>
    </w:p>
    <w:p>
      <w:pPr>
        <w:pStyle w:val="42"/>
        <w:widowControl/>
        <w:numPr>
          <w:ilvl w:val="0"/>
          <w:numId w:val="13"/>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按时足额缴纳物业管理服务费用、专项维修资金及分摊的水、电、气、信息、环卫等费用。</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乙方相关的权利义务：</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负责项目公共区域内的日常物业服务工作，按合同约定履行本合同；</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根据法律、法规的有关规定和本合同的约定，开展各项物业服务活动，但不得侵害甲方及他人的合法权益；</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根据有关法律、法规的规定和本合同的约定，向甲方收取物业服务费用及分摊费用，通过合法有效的方式解决拖欠物业服务费用的问题；</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根据本合同约定按标准全额收取物业费、公维金、停车费、水电气冷等按周期缴交的相关费用，乙方不接受甲方选择性缴交的单项费用。</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按照相关规定，建立健全“办事制度、办事纪律、收费项目和标准”等信息公开制度；</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接受甲方的监督，定期向全体业主公告本园区物业公共区域内的重大物业服务事项；</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结合本园区内公共区域管理的实际情况，编制物业服务方案、年度服务计划、年度维修养护计划等；</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可选聘专业公司承担本物业的保洁、保安、绿化、消防系统等的专项服务，但不得将本物业的管理责任转让给第三方，并对专业公司的服务行为承担连带责任；</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协助有关部门制止违法、违规的行为；</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乙方按合同约定履行相关责任和义务，不承担相关看管、保管、保存的义务；</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提前将房屋装饰装修中的禁止行为和注意事项书面告知甲方，并按规定与甲方签订房屋装饰装修管理服务协议；</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不得擅自占用和改变项目公共区域内共有部分的用途</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本合同依法解除、协商解除、单方解除或者期满终止时,乙方按有关规定和本合同约定退出本园区的物业服务，并按有关规定和本合同约定办理移交手续和项目退出手续；</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乙方负责维护本物业管理区域内的公共秩序并协助做好安全防范工作；</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乙方收取的停车服务费只负责对停车场地的清洁卫生及停车秩序的维护，不承担车辆保管责任。</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乙方不承担业主专有部位的保管责任；</w:t>
      </w:r>
    </w:p>
    <w:p>
      <w:pPr>
        <w:pStyle w:val="42"/>
        <w:widowControl/>
        <w:numPr>
          <w:ilvl w:val="0"/>
          <w:numId w:val="14"/>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法律、法规规定的其他权利义务。</w:t>
      </w: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违约责任</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甲方违反本合同约定，致使乙方的管理服务无法达到本合同约定的服务内容和质量标准，造成乙方损失的，由甲方赔偿乙方相应的损失。</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甲方违反本合同约定，未能按时足额交纳物业服务费及分摊等相关费用的，应按总欠缴费用月3%的标准向乙方支付违约金。</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因甲方拖欠相关费用，导致乙方需进行诉讼，所产生的包括但不仅限于诉讼费、律师费、财产保全费、公告费、公证费、交通费、邮递费、差旅费等相关费用由甲方承担。</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乙方违反本合同第五条、第六条的约定，擅自提高物业服务费用标准的，甲方就超额部分有权拒绝交纳；乙方已经收取的，甲方有权要求乙方双倍返还。</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业主可与物业使用人就本合同的权利义务进行约定，但物业使用人违反本合同约定的，业主应承担连带责任。</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若因业主欠缴物业服务相关费用或国家政策调整导致乙方本项目亏损无法正常经营时，甲方应积极协助乙方解决，乙方也可提前解除合同并不承担违约责任。</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以下情况乙方不承担责任：</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因不可抗力导致物业管理服务中断的；</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因甲方不履行付费义务导致物业管理服务中断的；</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乙方已履行本合同约定义务，但因物业本身固有瑕疵造成损失的；</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因维修养护物业公共部位、公共设施设备需要且事先已告知甲方和物业使用人，暂时停水、停电、停止公共设施设备使用等造成损失的；</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因非乙方责任出现供水、供电、供气、供热、通讯、有线电视及其他公共设施设备运行障碍造成损失的；</w:t>
      </w:r>
    </w:p>
    <w:p>
      <w:pPr>
        <w:pStyle w:val="42"/>
        <w:widowControl/>
        <w:numPr>
          <w:ilvl w:val="0"/>
          <w:numId w:val="15"/>
        </w:numPr>
        <w:spacing w:line="285" w:lineRule="atLeast"/>
        <w:ind w:left="567"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非乙方管理原因，辖区内发生的意外人身伤害或财产损失的。</w:t>
      </w:r>
    </w:p>
    <w:p>
      <w:pPr>
        <w:pStyle w:val="42"/>
        <w:widowControl/>
        <w:spacing w:line="285" w:lineRule="atLeast"/>
        <w:ind w:left="567" w:firstLine="0" w:firstLineChars="0"/>
        <w:jc w:val="left"/>
        <w:textAlignment w:val="bottom"/>
        <w:rPr>
          <w:rFonts w:ascii="宋体" w:hAnsi="宋体" w:cs="宋体"/>
          <w:color w:val="auto"/>
          <w:kern w:val="0"/>
          <w:sz w:val="28"/>
          <w:szCs w:val="21"/>
          <w:highlight w:val="none"/>
        </w:rPr>
      </w:pPr>
    </w:p>
    <w:p>
      <w:pPr>
        <w:pStyle w:val="42"/>
        <w:widowControl/>
        <w:numPr>
          <w:ilvl w:val="0"/>
          <w:numId w:val="1"/>
        </w:numPr>
        <w:spacing w:line="285" w:lineRule="atLeast"/>
        <w:ind w:firstLineChars="0"/>
        <w:jc w:val="center"/>
        <w:textAlignment w:val="bottom"/>
        <w:rPr>
          <w:rFonts w:ascii="宋体" w:hAnsi="宋体" w:cs="宋体"/>
          <w:b/>
          <w:bCs/>
          <w:color w:val="auto"/>
          <w:kern w:val="0"/>
          <w:sz w:val="28"/>
          <w:szCs w:val="21"/>
          <w:highlight w:val="none"/>
        </w:rPr>
      </w:pPr>
      <w:r>
        <w:rPr>
          <w:rFonts w:hint="eastAsia" w:ascii="宋体" w:hAnsi="宋体" w:cs="宋体"/>
          <w:b/>
          <w:bCs/>
          <w:color w:val="auto"/>
          <w:kern w:val="0"/>
          <w:sz w:val="28"/>
          <w:szCs w:val="21"/>
          <w:highlight w:val="none"/>
        </w:rPr>
        <w:t>其他事项</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hint="eastAsia" w:ascii="宋体" w:hAnsi="宋体" w:cs="宋体"/>
          <w:color w:val="auto"/>
          <w:kern w:val="0"/>
          <w:sz w:val="28"/>
          <w:szCs w:val="21"/>
          <w:highlight w:val="none"/>
        </w:rPr>
        <w:t>本合同期限自签订之日（按期交房日）起生效，首期物业合同服务优惠年限为4年，即   年  月   日止。</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本合同终止时，乙方应将</w:t>
      </w:r>
      <w:r>
        <w:rPr>
          <w:rFonts w:hint="eastAsia" w:ascii="宋体" w:hAnsi="宋体" w:cs="宋体"/>
          <w:color w:val="auto"/>
          <w:kern w:val="0"/>
          <w:sz w:val="28"/>
          <w:szCs w:val="21"/>
          <w:highlight w:val="none"/>
        </w:rPr>
        <w:t>甲方</w:t>
      </w:r>
      <w:r>
        <w:rPr>
          <w:rFonts w:ascii="宋体" w:hAnsi="宋体" w:cs="宋体"/>
          <w:color w:val="auto"/>
          <w:kern w:val="0"/>
          <w:sz w:val="28"/>
          <w:szCs w:val="21"/>
          <w:highlight w:val="none"/>
        </w:rPr>
        <w:t>相关资料移交给甲方。</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本合同的附件为本合同不可分割的组成部分，与本合同具有同等法律效力。</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本合同未尽事宜，双方可另行以书面形式签订补充协议。</w:t>
      </w:r>
    </w:p>
    <w:p>
      <w:pPr>
        <w:pStyle w:val="42"/>
        <w:widowControl/>
        <w:numPr>
          <w:ilvl w:val="0"/>
          <w:numId w:val="2"/>
        </w:numPr>
        <w:spacing w:line="285" w:lineRule="atLeast"/>
        <w:ind w:left="0" w:firstLine="0"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本合同在履行中发生争议，由双方协商解决，协商不成，双方可向</w:t>
      </w:r>
      <w:r>
        <w:rPr>
          <w:rFonts w:hint="eastAsia" w:ascii="宋体" w:hAnsi="宋体" w:cs="宋体"/>
          <w:color w:val="auto"/>
          <w:kern w:val="0"/>
          <w:sz w:val="28"/>
          <w:szCs w:val="21"/>
          <w:highlight w:val="none"/>
        </w:rPr>
        <w:t>乙方所在地</w:t>
      </w:r>
      <w:r>
        <w:rPr>
          <w:rFonts w:ascii="宋体" w:hAnsi="宋体" w:cs="宋体"/>
          <w:color w:val="auto"/>
          <w:kern w:val="0"/>
          <w:sz w:val="28"/>
          <w:szCs w:val="21"/>
          <w:highlight w:val="none"/>
        </w:rPr>
        <w:t>人民法院提起诉讼。</w:t>
      </w:r>
    </w:p>
    <w:p>
      <w:pPr>
        <w:pStyle w:val="42"/>
        <w:widowControl/>
        <w:numPr>
          <w:ilvl w:val="0"/>
          <w:numId w:val="2"/>
        </w:numPr>
        <w:spacing w:line="285" w:lineRule="atLeast"/>
        <w:ind w:firstLineChars="0"/>
        <w:jc w:val="left"/>
        <w:textAlignment w:val="bottom"/>
        <w:rPr>
          <w:rFonts w:ascii="宋体" w:hAnsi="宋体" w:cs="宋体"/>
          <w:color w:val="auto"/>
          <w:kern w:val="0"/>
          <w:sz w:val="28"/>
          <w:szCs w:val="21"/>
          <w:highlight w:val="none"/>
        </w:rPr>
      </w:pPr>
      <w:r>
        <w:rPr>
          <w:rFonts w:ascii="宋体" w:hAnsi="宋体" w:cs="宋体"/>
          <w:color w:val="auto"/>
          <w:kern w:val="0"/>
          <w:sz w:val="28"/>
          <w:szCs w:val="21"/>
          <w:highlight w:val="none"/>
        </w:rPr>
        <w:t>本合同一式</w:t>
      </w:r>
      <w:r>
        <w:rPr>
          <w:rFonts w:hint="eastAsia" w:ascii="宋体" w:hAnsi="宋体" w:cs="宋体"/>
          <w:color w:val="auto"/>
          <w:kern w:val="0"/>
          <w:sz w:val="28"/>
          <w:szCs w:val="21"/>
          <w:highlight w:val="none"/>
        </w:rPr>
        <w:t>叁</w:t>
      </w:r>
      <w:r>
        <w:rPr>
          <w:rFonts w:ascii="宋体" w:hAnsi="宋体" w:cs="宋体"/>
          <w:color w:val="auto"/>
          <w:kern w:val="0"/>
          <w:sz w:val="28"/>
          <w:szCs w:val="21"/>
          <w:highlight w:val="none"/>
        </w:rPr>
        <w:t>份，甲</w:t>
      </w:r>
      <w:r>
        <w:rPr>
          <w:rFonts w:hint="eastAsia" w:ascii="宋体" w:hAnsi="宋体" w:cs="宋体"/>
          <w:color w:val="auto"/>
          <w:kern w:val="0"/>
          <w:sz w:val="28"/>
          <w:szCs w:val="21"/>
          <w:highlight w:val="none"/>
        </w:rPr>
        <w:t>方壹份、</w:t>
      </w:r>
      <w:r>
        <w:rPr>
          <w:rFonts w:ascii="宋体" w:hAnsi="宋体" w:cs="宋体"/>
          <w:color w:val="auto"/>
          <w:kern w:val="0"/>
          <w:sz w:val="28"/>
          <w:szCs w:val="21"/>
          <w:highlight w:val="none"/>
        </w:rPr>
        <w:t>乙</w:t>
      </w:r>
      <w:r>
        <w:rPr>
          <w:rFonts w:hint="eastAsia" w:ascii="宋体" w:hAnsi="宋体" w:cs="宋体"/>
          <w:color w:val="auto"/>
          <w:kern w:val="0"/>
          <w:sz w:val="28"/>
          <w:szCs w:val="21"/>
          <w:highlight w:val="none"/>
        </w:rPr>
        <w:t>贰</w:t>
      </w:r>
      <w:r>
        <w:rPr>
          <w:rFonts w:ascii="宋体" w:hAnsi="宋体" w:cs="宋体"/>
          <w:color w:val="auto"/>
          <w:kern w:val="0"/>
          <w:sz w:val="28"/>
          <w:szCs w:val="21"/>
          <w:highlight w:val="none"/>
        </w:rPr>
        <w:t>份。</w:t>
      </w:r>
    </w:p>
    <w:p>
      <w:pPr>
        <w:pStyle w:val="42"/>
        <w:widowControl/>
        <w:spacing w:line="285" w:lineRule="atLeast"/>
        <w:ind w:left="1095" w:firstLine="0" w:firstLineChars="0"/>
        <w:jc w:val="left"/>
        <w:textAlignment w:val="bottom"/>
        <w:rPr>
          <w:rFonts w:ascii="宋体" w:hAnsi="宋体" w:cs="宋体"/>
          <w:color w:val="auto"/>
          <w:kern w:val="0"/>
          <w:sz w:val="28"/>
          <w:szCs w:val="21"/>
          <w:highlight w:val="none"/>
        </w:rPr>
      </w:pPr>
    </w:p>
    <w:tbl>
      <w:tblPr>
        <w:tblStyle w:val="16"/>
        <w:tblW w:w="92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91"/>
        <w:gridCol w:w="467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45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宋体" w:hAnsi="宋体"/>
                <w:color w:val="auto"/>
                <w:sz w:val="28"/>
                <w:szCs w:val="28"/>
                <w:highlight w:val="none"/>
              </w:rPr>
            </w:pPr>
            <w:r>
              <w:rPr>
                <w:rFonts w:hint="eastAsia" w:ascii="宋体" w:hAnsi="宋体"/>
                <w:color w:val="auto"/>
                <w:sz w:val="28"/>
                <w:szCs w:val="28"/>
                <w:highlight w:val="none"/>
              </w:rPr>
              <w:t>甲方：</w:t>
            </w:r>
          </w:p>
          <w:p>
            <w:pPr>
              <w:spacing w:line="560" w:lineRule="exact"/>
              <w:jc w:val="center"/>
              <w:rPr>
                <w:rFonts w:ascii="宋体" w:hAnsi="宋体"/>
                <w:color w:val="auto"/>
                <w:sz w:val="28"/>
                <w:szCs w:val="28"/>
                <w:highlight w:val="none"/>
              </w:rPr>
            </w:pPr>
          </w:p>
        </w:tc>
        <w:tc>
          <w:tcPr>
            <w:tcW w:w="467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宋体" w:hAnsi="宋体"/>
                <w:color w:val="auto"/>
                <w:kern w:val="0"/>
                <w:sz w:val="28"/>
                <w:szCs w:val="28"/>
                <w:highlight w:val="none"/>
              </w:rPr>
            </w:pPr>
            <w:r>
              <w:rPr>
                <w:rFonts w:hint="eastAsia" w:ascii="宋体" w:hAnsi="宋体"/>
                <w:color w:val="auto"/>
                <w:sz w:val="28"/>
                <w:szCs w:val="28"/>
                <w:highlight w:val="none"/>
              </w:rPr>
              <w:t>乙方：</w:t>
            </w:r>
            <w:r>
              <w:rPr>
                <w:rFonts w:hint="eastAsia" w:ascii="宋体" w:hAnsi="宋体"/>
                <w:color w:val="auto"/>
                <w:kern w:val="0"/>
                <w:sz w:val="28"/>
                <w:szCs w:val="28"/>
                <w:highlight w:val="none"/>
              </w:rPr>
              <w:t>厦门市人居乐业物业服务</w:t>
            </w:r>
          </w:p>
          <w:p>
            <w:pPr>
              <w:spacing w:line="560" w:lineRule="exact"/>
              <w:jc w:val="center"/>
              <w:rPr>
                <w:rFonts w:ascii="宋体" w:hAnsi="宋体"/>
                <w:color w:val="auto"/>
                <w:sz w:val="28"/>
                <w:szCs w:val="28"/>
                <w:highlight w:val="none"/>
              </w:rPr>
            </w:pPr>
            <w:r>
              <w:rPr>
                <w:rFonts w:hint="eastAsia" w:ascii="宋体" w:hAnsi="宋体"/>
                <w:color w:val="auto"/>
                <w:kern w:val="0"/>
                <w:sz w:val="28"/>
                <w:szCs w:val="28"/>
                <w:highlight w:val="none"/>
              </w:rPr>
              <w:t>有限公司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459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宋体" w:hAnsi="宋体"/>
                <w:color w:val="auto"/>
                <w:sz w:val="28"/>
                <w:szCs w:val="28"/>
                <w:highlight w:val="none"/>
              </w:rPr>
            </w:pPr>
            <w:r>
              <w:rPr>
                <w:rFonts w:hint="eastAsia" w:ascii="宋体" w:hAnsi="宋体"/>
                <w:color w:val="auto"/>
                <w:sz w:val="28"/>
                <w:szCs w:val="28"/>
                <w:highlight w:val="none"/>
              </w:rPr>
              <w:t>代表签字：</w:t>
            </w:r>
          </w:p>
        </w:tc>
        <w:tc>
          <w:tcPr>
            <w:tcW w:w="467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宋体" w:hAnsi="宋体"/>
                <w:color w:val="auto"/>
                <w:sz w:val="28"/>
                <w:szCs w:val="28"/>
                <w:highlight w:val="none"/>
              </w:rPr>
            </w:pPr>
            <w:r>
              <w:rPr>
                <w:rFonts w:hint="eastAsia" w:ascii="宋体" w:hAnsi="宋体"/>
                <w:color w:val="auto"/>
                <w:sz w:val="28"/>
                <w:szCs w:val="28"/>
                <w:highlight w:val="none"/>
              </w:rPr>
              <w:t>代表签字：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26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宋体" w:hAnsi="宋体"/>
                <w:color w:val="auto"/>
                <w:sz w:val="28"/>
                <w:szCs w:val="28"/>
                <w:highlight w:val="none"/>
              </w:rPr>
            </w:pPr>
            <w:r>
              <w:rPr>
                <w:rFonts w:hint="eastAsia" w:ascii="宋体" w:hAnsi="宋体"/>
                <w:color w:val="auto"/>
                <w:sz w:val="28"/>
                <w:szCs w:val="28"/>
                <w:highlight w:val="none"/>
              </w:rPr>
              <w:t>签订日期：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9265"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宋体" w:hAnsi="宋体"/>
                <w:color w:val="auto"/>
                <w:sz w:val="28"/>
                <w:szCs w:val="28"/>
                <w:highlight w:val="none"/>
              </w:rPr>
            </w:pPr>
            <w:r>
              <w:rPr>
                <w:rFonts w:hint="eastAsia" w:ascii="宋体" w:hAnsi="宋体"/>
                <w:color w:val="auto"/>
                <w:sz w:val="28"/>
                <w:szCs w:val="28"/>
                <w:highlight w:val="none"/>
              </w:rPr>
              <w:t>合同签订地：厦门市湖里区同益路9号地产大厦</w:t>
            </w:r>
          </w:p>
        </w:tc>
      </w:tr>
    </w:tbl>
    <w:p>
      <w:pPr>
        <w:rPr>
          <w:color w:val="auto"/>
          <w:highlight w:val="none"/>
        </w:rPr>
      </w:pPr>
    </w:p>
    <w:p>
      <w:pPr>
        <w:rPr>
          <w:color w:val="auto"/>
          <w:highlight w:val="none"/>
        </w:rPr>
      </w:pPr>
    </w:p>
    <w:p>
      <w:pPr>
        <w:spacing w:line="360" w:lineRule="auto"/>
        <w:ind w:right="200"/>
        <w:jc w:val="left"/>
        <w:rPr>
          <w:rFonts w:ascii="华文细黑" w:hAnsi="华文细黑" w:eastAsia="华文细黑"/>
          <w:color w:val="auto"/>
          <w:sz w:val="24"/>
          <w:szCs w:val="24"/>
          <w:highlight w:val="none"/>
        </w:rPr>
      </w:pPr>
    </w:p>
    <w:sectPr>
      <w:footerReference r:id="rId3" w:type="default"/>
      <w:pgSz w:w="11906" w:h="16838"/>
      <w:pgMar w:top="1440" w:right="926" w:bottom="1246"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9511" w:wrap="around" w:vAnchor="text" w:hAnchor="page" w:x="1441" w:y="7"/>
      <w:jc w:val="center"/>
      <w:rPr>
        <w:rStyle w:val="19"/>
      </w:rPr>
    </w:pPr>
    <w:r>
      <w:fldChar w:fldCharType="begin"/>
    </w:r>
    <w:r>
      <w:rPr>
        <w:rStyle w:val="19"/>
      </w:rPr>
      <w:instrText xml:space="preserve">PAGE  </w:instrText>
    </w:r>
    <w:r>
      <w:fldChar w:fldCharType="separate"/>
    </w:r>
    <w:r>
      <w:rPr>
        <w:rStyle w:val="19"/>
      </w:rPr>
      <w:t>5</w: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45476"/>
    <w:multiLevelType w:val="multilevel"/>
    <w:tmpl w:val="00545476"/>
    <w:lvl w:ilvl="0" w:tentative="0">
      <w:start w:val="1"/>
      <w:numFmt w:val="decimal"/>
      <w:lvlText w:val="%1、"/>
      <w:lvlJc w:val="left"/>
      <w:pPr>
        <w:ind w:left="1548"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431FE0"/>
    <w:multiLevelType w:val="multilevel"/>
    <w:tmpl w:val="0C431FE0"/>
    <w:lvl w:ilvl="0" w:tentative="0">
      <w:start w:val="1"/>
      <w:numFmt w:val="decimal"/>
      <w:lvlText w:val="%1、"/>
      <w:lvlJc w:val="left"/>
      <w:pPr>
        <w:ind w:left="1548"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5E498C"/>
    <w:multiLevelType w:val="multilevel"/>
    <w:tmpl w:val="1A5E498C"/>
    <w:lvl w:ilvl="0" w:tentative="0">
      <w:start w:val="1"/>
      <w:numFmt w:val="decimal"/>
      <w:lvlText w:val="%1、"/>
      <w:lvlJc w:val="left"/>
      <w:pPr>
        <w:ind w:left="1548"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615791"/>
    <w:multiLevelType w:val="multilevel"/>
    <w:tmpl w:val="33615791"/>
    <w:lvl w:ilvl="0" w:tentative="0">
      <w:start w:val="1"/>
      <w:numFmt w:val="japaneseCounting"/>
      <w:lvlText w:val="第%1条"/>
      <w:lvlJc w:val="left"/>
      <w:pPr>
        <w:ind w:left="1095" w:hanging="1095"/>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6972B3"/>
    <w:multiLevelType w:val="multilevel"/>
    <w:tmpl w:val="376972B3"/>
    <w:lvl w:ilvl="0" w:tentative="0">
      <w:start w:val="1"/>
      <w:numFmt w:val="decimal"/>
      <w:lvlText w:val="%1、"/>
      <w:lvlJc w:val="left"/>
      <w:pPr>
        <w:ind w:left="1548"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4428E1"/>
    <w:multiLevelType w:val="multilevel"/>
    <w:tmpl w:val="484428E1"/>
    <w:lvl w:ilvl="0" w:tentative="0">
      <w:start w:val="1"/>
      <w:numFmt w:val="decimal"/>
      <w:lvlText w:val="%1、"/>
      <w:lvlJc w:val="left"/>
      <w:pPr>
        <w:ind w:left="418" w:hanging="420"/>
      </w:pPr>
      <w:rPr>
        <w:rFonts w:hint="default" w:cs="宋体"/>
        <w:color w:val="auto"/>
        <w:sz w:val="28"/>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506569D4"/>
    <w:multiLevelType w:val="multilevel"/>
    <w:tmpl w:val="506569D4"/>
    <w:lvl w:ilvl="0" w:tentative="0">
      <w:start w:val="1"/>
      <w:numFmt w:val="decimal"/>
      <w:lvlText w:val="%1、"/>
      <w:lvlJc w:val="left"/>
      <w:pPr>
        <w:ind w:left="1548"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70111F1"/>
    <w:multiLevelType w:val="multilevel"/>
    <w:tmpl w:val="570111F1"/>
    <w:lvl w:ilvl="0" w:tentative="0">
      <w:start w:val="1"/>
      <w:numFmt w:val="decimal"/>
      <w:lvlText w:val="%1、"/>
      <w:lvlJc w:val="left"/>
      <w:pPr>
        <w:ind w:left="1548"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C41BEA"/>
    <w:multiLevelType w:val="multilevel"/>
    <w:tmpl w:val="58C41BEA"/>
    <w:lvl w:ilvl="0" w:tentative="0">
      <w:start w:val="1"/>
      <w:numFmt w:val="japaneseCounting"/>
      <w:lvlText w:val="第%1章"/>
      <w:lvlJc w:val="left"/>
      <w:pPr>
        <w:ind w:left="1155" w:hanging="11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BC3055"/>
    <w:multiLevelType w:val="singleLevel"/>
    <w:tmpl w:val="5ABC3055"/>
    <w:lvl w:ilvl="0" w:tentative="0">
      <w:start w:val="1"/>
      <w:numFmt w:val="decimal"/>
      <w:suff w:val="nothing"/>
      <w:lvlText w:val="（%1）"/>
      <w:lvlJc w:val="left"/>
    </w:lvl>
  </w:abstractNum>
  <w:abstractNum w:abstractNumId="10">
    <w:nsid w:val="5BCF60BC"/>
    <w:multiLevelType w:val="multilevel"/>
    <w:tmpl w:val="5BCF60BC"/>
    <w:lvl w:ilvl="0" w:tentative="0">
      <w:start w:val="1"/>
      <w:numFmt w:val="decimal"/>
      <w:lvlText w:val="（%1）"/>
      <w:lvlJc w:val="left"/>
      <w:pPr>
        <w:ind w:left="113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1">
    <w:nsid w:val="60AB45A0"/>
    <w:multiLevelType w:val="multilevel"/>
    <w:tmpl w:val="60AB45A0"/>
    <w:lvl w:ilvl="0" w:tentative="0">
      <w:start w:val="1"/>
      <w:numFmt w:val="decimal"/>
      <w:lvlText w:val="%1、"/>
      <w:lvlJc w:val="left"/>
      <w:pPr>
        <w:ind w:left="1548"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E1783A"/>
    <w:multiLevelType w:val="multilevel"/>
    <w:tmpl w:val="6AE1783A"/>
    <w:lvl w:ilvl="0" w:tentative="0">
      <w:start w:val="1"/>
      <w:numFmt w:val="bullet"/>
      <w:lvlText w:val=""/>
      <w:lvlJc w:val="left"/>
      <w:pPr>
        <w:ind w:left="1558" w:hanging="420"/>
      </w:pPr>
      <w:rPr>
        <w:rFonts w:hint="default" w:ascii="Wingdings" w:hAnsi="Wingdings"/>
      </w:rPr>
    </w:lvl>
    <w:lvl w:ilvl="1" w:tentative="0">
      <w:start w:val="1"/>
      <w:numFmt w:val="bullet"/>
      <w:lvlText w:val=""/>
      <w:lvlJc w:val="left"/>
      <w:pPr>
        <w:ind w:left="1978" w:hanging="420"/>
      </w:pPr>
      <w:rPr>
        <w:rFonts w:hint="default" w:ascii="Wingdings" w:hAnsi="Wingdings"/>
      </w:rPr>
    </w:lvl>
    <w:lvl w:ilvl="2" w:tentative="0">
      <w:start w:val="1"/>
      <w:numFmt w:val="bullet"/>
      <w:lvlText w:val=""/>
      <w:lvlJc w:val="left"/>
      <w:pPr>
        <w:ind w:left="2398" w:hanging="420"/>
      </w:pPr>
      <w:rPr>
        <w:rFonts w:hint="default" w:ascii="Wingdings" w:hAnsi="Wingdings"/>
      </w:rPr>
    </w:lvl>
    <w:lvl w:ilvl="3" w:tentative="0">
      <w:start w:val="1"/>
      <w:numFmt w:val="bullet"/>
      <w:lvlText w:val=""/>
      <w:lvlJc w:val="left"/>
      <w:pPr>
        <w:ind w:left="2818" w:hanging="420"/>
      </w:pPr>
      <w:rPr>
        <w:rFonts w:hint="default" w:ascii="Wingdings" w:hAnsi="Wingdings"/>
      </w:rPr>
    </w:lvl>
    <w:lvl w:ilvl="4" w:tentative="0">
      <w:start w:val="1"/>
      <w:numFmt w:val="bullet"/>
      <w:lvlText w:val=""/>
      <w:lvlJc w:val="left"/>
      <w:pPr>
        <w:ind w:left="3238" w:hanging="420"/>
      </w:pPr>
      <w:rPr>
        <w:rFonts w:hint="default" w:ascii="Wingdings" w:hAnsi="Wingdings"/>
      </w:rPr>
    </w:lvl>
    <w:lvl w:ilvl="5" w:tentative="0">
      <w:start w:val="1"/>
      <w:numFmt w:val="bullet"/>
      <w:lvlText w:val=""/>
      <w:lvlJc w:val="left"/>
      <w:pPr>
        <w:ind w:left="3658" w:hanging="420"/>
      </w:pPr>
      <w:rPr>
        <w:rFonts w:hint="default" w:ascii="Wingdings" w:hAnsi="Wingdings"/>
      </w:rPr>
    </w:lvl>
    <w:lvl w:ilvl="6" w:tentative="0">
      <w:start w:val="1"/>
      <w:numFmt w:val="bullet"/>
      <w:lvlText w:val=""/>
      <w:lvlJc w:val="left"/>
      <w:pPr>
        <w:ind w:left="4078" w:hanging="420"/>
      </w:pPr>
      <w:rPr>
        <w:rFonts w:hint="default" w:ascii="Wingdings" w:hAnsi="Wingdings"/>
      </w:rPr>
    </w:lvl>
    <w:lvl w:ilvl="7" w:tentative="0">
      <w:start w:val="1"/>
      <w:numFmt w:val="bullet"/>
      <w:lvlText w:val=""/>
      <w:lvlJc w:val="left"/>
      <w:pPr>
        <w:ind w:left="4498" w:hanging="420"/>
      </w:pPr>
      <w:rPr>
        <w:rFonts w:hint="default" w:ascii="Wingdings" w:hAnsi="Wingdings"/>
      </w:rPr>
    </w:lvl>
    <w:lvl w:ilvl="8" w:tentative="0">
      <w:start w:val="1"/>
      <w:numFmt w:val="bullet"/>
      <w:lvlText w:val=""/>
      <w:lvlJc w:val="left"/>
      <w:pPr>
        <w:ind w:left="4918" w:hanging="420"/>
      </w:pPr>
      <w:rPr>
        <w:rFonts w:hint="default" w:ascii="Wingdings" w:hAnsi="Wingdings"/>
      </w:rPr>
    </w:lvl>
  </w:abstractNum>
  <w:abstractNum w:abstractNumId="13">
    <w:nsid w:val="70E26A5D"/>
    <w:multiLevelType w:val="multilevel"/>
    <w:tmpl w:val="70E26A5D"/>
    <w:lvl w:ilvl="0" w:tentative="0">
      <w:start w:val="1"/>
      <w:numFmt w:val="decimal"/>
      <w:lvlText w:val="%1、"/>
      <w:lvlJc w:val="left"/>
      <w:pPr>
        <w:ind w:left="1548" w:hanging="720"/>
      </w:pPr>
      <w:rPr>
        <w:rFonts w:hint="default"/>
      </w:rPr>
    </w:lvl>
    <w:lvl w:ilvl="1" w:tentative="0">
      <w:start w:val="1"/>
      <w:numFmt w:val="lowerLetter"/>
      <w:lvlText w:val="%2)"/>
      <w:lvlJc w:val="left"/>
      <w:pPr>
        <w:ind w:left="1668" w:hanging="420"/>
      </w:pPr>
    </w:lvl>
    <w:lvl w:ilvl="2" w:tentative="0">
      <w:start w:val="1"/>
      <w:numFmt w:val="lowerRoman"/>
      <w:lvlText w:val="%3."/>
      <w:lvlJc w:val="right"/>
      <w:pPr>
        <w:ind w:left="2088" w:hanging="420"/>
      </w:pPr>
    </w:lvl>
    <w:lvl w:ilvl="3" w:tentative="0">
      <w:start w:val="1"/>
      <w:numFmt w:val="decimal"/>
      <w:lvlText w:val="%4."/>
      <w:lvlJc w:val="left"/>
      <w:pPr>
        <w:ind w:left="2508" w:hanging="420"/>
      </w:pPr>
    </w:lvl>
    <w:lvl w:ilvl="4" w:tentative="0">
      <w:start w:val="1"/>
      <w:numFmt w:val="lowerLetter"/>
      <w:lvlText w:val="%5)"/>
      <w:lvlJc w:val="left"/>
      <w:pPr>
        <w:ind w:left="2928" w:hanging="420"/>
      </w:pPr>
    </w:lvl>
    <w:lvl w:ilvl="5" w:tentative="0">
      <w:start w:val="1"/>
      <w:numFmt w:val="lowerRoman"/>
      <w:lvlText w:val="%6."/>
      <w:lvlJc w:val="right"/>
      <w:pPr>
        <w:ind w:left="3348" w:hanging="420"/>
      </w:pPr>
    </w:lvl>
    <w:lvl w:ilvl="6" w:tentative="0">
      <w:start w:val="1"/>
      <w:numFmt w:val="decimal"/>
      <w:lvlText w:val="%7."/>
      <w:lvlJc w:val="left"/>
      <w:pPr>
        <w:ind w:left="3768" w:hanging="420"/>
      </w:pPr>
    </w:lvl>
    <w:lvl w:ilvl="7" w:tentative="0">
      <w:start w:val="1"/>
      <w:numFmt w:val="lowerLetter"/>
      <w:lvlText w:val="%8)"/>
      <w:lvlJc w:val="left"/>
      <w:pPr>
        <w:ind w:left="4188" w:hanging="420"/>
      </w:pPr>
    </w:lvl>
    <w:lvl w:ilvl="8" w:tentative="0">
      <w:start w:val="1"/>
      <w:numFmt w:val="lowerRoman"/>
      <w:lvlText w:val="%9."/>
      <w:lvlJc w:val="right"/>
      <w:pPr>
        <w:ind w:left="4608" w:hanging="420"/>
      </w:pPr>
    </w:lvl>
  </w:abstractNum>
  <w:abstractNum w:abstractNumId="14">
    <w:nsid w:val="763639C0"/>
    <w:multiLevelType w:val="multilevel"/>
    <w:tmpl w:val="763639C0"/>
    <w:lvl w:ilvl="0" w:tentative="0">
      <w:start w:val="1"/>
      <w:numFmt w:val="bullet"/>
      <w:lvlText w:val=""/>
      <w:lvlJc w:val="left"/>
      <w:pPr>
        <w:ind w:left="1858" w:hanging="720"/>
      </w:pPr>
      <w:rPr>
        <w:rFonts w:hint="default" w:ascii="Wingdings" w:hAnsi="Wingdings"/>
      </w:rPr>
    </w:lvl>
    <w:lvl w:ilvl="1" w:tentative="0">
      <w:start w:val="1"/>
      <w:numFmt w:val="lowerLetter"/>
      <w:lvlText w:val="%2)"/>
      <w:lvlJc w:val="left"/>
      <w:pPr>
        <w:ind w:left="1978" w:hanging="420"/>
      </w:pPr>
    </w:lvl>
    <w:lvl w:ilvl="2" w:tentative="0">
      <w:start w:val="1"/>
      <w:numFmt w:val="lowerRoman"/>
      <w:lvlText w:val="%3."/>
      <w:lvlJc w:val="right"/>
      <w:pPr>
        <w:ind w:left="2398" w:hanging="420"/>
      </w:pPr>
    </w:lvl>
    <w:lvl w:ilvl="3" w:tentative="0">
      <w:start w:val="1"/>
      <w:numFmt w:val="decimal"/>
      <w:lvlText w:val="%4."/>
      <w:lvlJc w:val="left"/>
      <w:pPr>
        <w:ind w:left="2818" w:hanging="420"/>
      </w:pPr>
    </w:lvl>
    <w:lvl w:ilvl="4" w:tentative="0">
      <w:start w:val="1"/>
      <w:numFmt w:val="lowerLetter"/>
      <w:lvlText w:val="%5)"/>
      <w:lvlJc w:val="left"/>
      <w:pPr>
        <w:ind w:left="3238" w:hanging="420"/>
      </w:pPr>
    </w:lvl>
    <w:lvl w:ilvl="5" w:tentative="0">
      <w:start w:val="1"/>
      <w:numFmt w:val="lowerRoman"/>
      <w:lvlText w:val="%6."/>
      <w:lvlJc w:val="right"/>
      <w:pPr>
        <w:ind w:left="3658" w:hanging="420"/>
      </w:pPr>
    </w:lvl>
    <w:lvl w:ilvl="6" w:tentative="0">
      <w:start w:val="1"/>
      <w:numFmt w:val="decimal"/>
      <w:lvlText w:val="%7."/>
      <w:lvlJc w:val="left"/>
      <w:pPr>
        <w:ind w:left="4078" w:hanging="420"/>
      </w:pPr>
    </w:lvl>
    <w:lvl w:ilvl="7" w:tentative="0">
      <w:start w:val="1"/>
      <w:numFmt w:val="lowerLetter"/>
      <w:lvlText w:val="%8)"/>
      <w:lvlJc w:val="left"/>
      <w:pPr>
        <w:ind w:left="4498" w:hanging="420"/>
      </w:pPr>
    </w:lvl>
    <w:lvl w:ilvl="8" w:tentative="0">
      <w:start w:val="1"/>
      <w:numFmt w:val="lowerRoman"/>
      <w:lvlText w:val="%9."/>
      <w:lvlJc w:val="right"/>
      <w:pPr>
        <w:ind w:left="4918" w:hanging="420"/>
      </w:pPr>
    </w:lvl>
  </w:abstractNum>
  <w:num w:numId="1">
    <w:abstractNumId w:val="8"/>
  </w:num>
  <w:num w:numId="2">
    <w:abstractNumId w:val="3"/>
  </w:num>
  <w:num w:numId="3">
    <w:abstractNumId w:val="13"/>
  </w:num>
  <w:num w:numId="4">
    <w:abstractNumId w:val="11"/>
  </w:num>
  <w:num w:numId="5">
    <w:abstractNumId w:val="6"/>
  </w:num>
  <w:num w:numId="6">
    <w:abstractNumId w:val="0"/>
  </w:num>
  <w:num w:numId="7">
    <w:abstractNumId w:val="4"/>
  </w:num>
  <w:num w:numId="8">
    <w:abstractNumId w:val="5"/>
  </w:num>
  <w:num w:numId="9">
    <w:abstractNumId w:val="9"/>
  </w:num>
  <w:num w:numId="10">
    <w:abstractNumId w:val="10"/>
  </w:num>
  <w:num w:numId="11">
    <w:abstractNumId w:val="14"/>
  </w:num>
  <w:num w:numId="12">
    <w:abstractNumId w:val="12"/>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YmZmMjBlYjNjNDkyNmYxMjIwYzhlNDgyM2Y2ZmYifQ=="/>
  </w:docVars>
  <w:rsids>
    <w:rsidRoot w:val="004E2CDC"/>
    <w:rsid w:val="0000098A"/>
    <w:rsid w:val="00001074"/>
    <w:rsid w:val="00001DA1"/>
    <w:rsid w:val="0000208A"/>
    <w:rsid w:val="0000294A"/>
    <w:rsid w:val="00002FCB"/>
    <w:rsid w:val="000030A9"/>
    <w:rsid w:val="000035E0"/>
    <w:rsid w:val="00003A7C"/>
    <w:rsid w:val="00003F47"/>
    <w:rsid w:val="00004140"/>
    <w:rsid w:val="00005537"/>
    <w:rsid w:val="000058F4"/>
    <w:rsid w:val="00006A1D"/>
    <w:rsid w:val="0001041D"/>
    <w:rsid w:val="00010BBE"/>
    <w:rsid w:val="0001168D"/>
    <w:rsid w:val="000119F4"/>
    <w:rsid w:val="00011C1D"/>
    <w:rsid w:val="00012C48"/>
    <w:rsid w:val="00012F7A"/>
    <w:rsid w:val="000151C3"/>
    <w:rsid w:val="00015AD4"/>
    <w:rsid w:val="00016B57"/>
    <w:rsid w:val="000203B0"/>
    <w:rsid w:val="00020A29"/>
    <w:rsid w:val="000214C5"/>
    <w:rsid w:val="00021A13"/>
    <w:rsid w:val="00021D44"/>
    <w:rsid w:val="00022530"/>
    <w:rsid w:val="00023C04"/>
    <w:rsid w:val="00024CD4"/>
    <w:rsid w:val="000252BB"/>
    <w:rsid w:val="00031151"/>
    <w:rsid w:val="00032DEE"/>
    <w:rsid w:val="000346BA"/>
    <w:rsid w:val="00035218"/>
    <w:rsid w:val="00036ABC"/>
    <w:rsid w:val="0003765E"/>
    <w:rsid w:val="000404DB"/>
    <w:rsid w:val="00040F5A"/>
    <w:rsid w:val="0004199F"/>
    <w:rsid w:val="00041F80"/>
    <w:rsid w:val="0004216F"/>
    <w:rsid w:val="00045EE3"/>
    <w:rsid w:val="00046747"/>
    <w:rsid w:val="00046A1E"/>
    <w:rsid w:val="00050BE7"/>
    <w:rsid w:val="00053671"/>
    <w:rsid w:val="000545BE"/>
    <w:rsid w:val="00055123"/>
    <w:rsid w:val="000555DB"/>
    <w:rsid w:val="00055BD0"/>
    <w:rsid w:val="00056AD4"/>
    <w:rsid w:val="00060E22"/>
    <w:rsid w:val="00060F2B"/>
    <w:rsid w:val="00061FD6"/>
    <w:rsid w:val="00062665"/>
    <w:rsid w:val="00063C16"/>
    <w:rsid w:val="00063FF5"/>
    <w:rsid w:val="00066870"/>
    <w:rsid w:val="0007165C"/>
    <w:rsid w:val="000716D4"/>
    <w:rsid w:val="0007222C"/>
    <w:rsid w:val="0007345D"/>
    <w:rsid w:val="000735E0"/>
    <w:rsid w:val="00074E6F"/>
    <w:rsid w:val="00076685"/>
    <w:rsid w:val="00077565"/>
    <w:rsid w:val="000775DB"/>
    <w:rsid w:val="00077859"/>
    <w:rsid w:val="000808CD"/>
    <w:rsid w:val="00080B02"/>
    <w:rsid w:val="0008188D"/>
    <w:rsid w:val="00082563"/>
    <w:rsid w:val="00083682"/>
    <w:rsid w:val="00083EEF"/>
    <w:rsid w:val="00084004"/>
    <w:rsid w:val="0008706F"/>
    <w:rsid w:val="000927B5"/>
    <w:rsid w:val="00096568"/>
    <w:rsid w:val="000965C6"/>
    <w:rsid w:val="000975CF"/>
    <w:rsid w:val="000977B6"/>
    <w:rsid w:val="00097FCC"/>
    <w:rsid w:val="000A1FCE"/>
    <w:rsid w:val="000A24C3"/>
    <w:rsid w:val="000A2AEE"/>
    <w:rsid w:val="000A48D8"/>
    <w:rsid w:val="000A5939"/>
    <w:rsid w:val="000A6607"/>
    <w:rsid w:val="000A6934"/>
    <w:rsid w:val="000A72EC"/>
    <w:rsid w:val="000A74B1"/>
    <w:rsid w:val="000A7701"/>
    <w:rsid w:val="000A7938"/>
    <w:rsid w:val="000B0327"/>
    <w:rsid w:val="000B07AE"/>
    <w:rsid w:val="000B2111"/>
    <w:rsid w:val="000B3B2C"/>
    <w:rsid w:val="000B403F"/>
    <w:rsid w:val="000B658E"/>
    <w:rsid w:val="000B669D"/>
    <w:rsid w:val="000B6875"/>
    <w:rsid w:val="000B6B4B"/>
    <w:rsid w:val="000B733B"/>
    <w:rsid w:val="000B73A0"/>
    <w:rsid w:val="000B76DC"/>
    <w:rsid w:val="000C2810"/>
    <w:rsid w:val="000C4245"/>
    <w:rsid w:val="000C46EC"/>
    <w:rsid w:val="000C6BE5"/>
    <w:rsid w:val="000D033C"/>
    <w:rsid w:val="000D07E2"/>
    <w:rsid w:val="000D0918"/>
    <w:rsid w:val="000D3D91"/>
    <w:rsid w:val="000D4CAA"/>
    <w:rsid w:val="000D5892"/>
    <w:rsid w:val="000D61E0"/>
    <w:rsid w:val="000D65CD"/>
    <w:rsid w:val="000D6CB6"/>
    <w:rsid w:val="000E0C0B"/>
    <w:rsid w:val="000E1ECA"/>
    <w:rsid w:val="000E1F3A"/>
    <w:rsid w:val="000E5117"/>
    <w:rsid w:val="000E58D6"/>
    <w:rsid w:val="000E693B"/>
    <w:rsid w:val="000E6AB2"/>
    <w:rsid w:val="000E7628"/>
    <w:rsid w:val="000E7A1B"/>
    <w:rsid w:val="000E7B75"/>
    <w:rsid w:val="000F09C0"/>
    <w:rsid w:val="000F09D4"/>
    <w:rsid w:val="000F0FBC"/>
    <w:rsid w:val="000F12FC"/>
    <w:rsid w:val="000F2881"/>
    <w:rsid w:val="000F3134"/>
    <w:rsid w:val="000F4709"/>
    <w:rsid w:val="0010284B"/>
    <w:rsid w:val="0010345C"/>
    <w:rsid w:val="0010413D"/>
    <w:rsid w:val="00104517"/>
    <w:rsid w:val="00104950"/>
    <w:rsid w:val="001078E5"/>
    <w:rsid w:val="00107930"/>
    <w:rsid w:val="00112466"/>
    <w:rsid w:val="00112671"/>
    <w:rsid w:val="00112EA3"/>
    <w:rsid w:val="0011324E"/>
    <w:rsid w:val="00113B05"/>
    <w:rsid w:val="00113CE5"/>
    <w:rsid w:val="00113D9D"/>
    <w:rsid w:val="00122B8E"/>
    <w:rsid w:val="0012303F"/>
    <w:rsid w:val="00123CA5"/>
    <w:rsid w:val="001263F1"/>
    <w:rsid w:val="00126F6A"/>
    <w:rsid w:val="00130C0D"/>
    <w:rsid w:val="001320B3"/>
    <w:rsid w:val="00132176"/>
    <w:rsid w:val="00132396"/>
    <w:rsid w:val="001413AE"/>
    <w:rsid w:val="00141F87"/>
    <w:rsid w:val="001427D6"/>
    <w:rsid w:val="00145E8E"/>
    <w:rsid w:val="001470C4"/>
    <w:rsid w:val="00147155"/>
    <w:rsid w:val="00150019"/>
    <w:rsid w:val="001541AC"/>
    <w:rsid w:val="00154468"/>
    <w:rsid w:val="00156A28"/>
    <w:rsid w:val="00161773"/>
    <w:rsid w:val="0016490D"/>
    <w:rsid w:val="00164F1E"/>
    <w:rsid w:val="00165926"/>
    <w:rsid w:val="0017096B"/>
    <w:rsid w:val="001712E4"/>
    <w:rsid w:val="00171C31"/>
    <w:rsid w:val="00171E1D"/>
    <w:rsid w:val="001722DA"/>
    <w:rsid w:val="00172994"/>
    <w:rsid w:val="00174A9D"/>
    <w:rsid w:val="00175CA3"/>
    <w:rsid w:val="001765AA"/>
    <w:rsid w:val="0018364D"/>
    <w:rsid w:val="00184755"/>
    <w:rsid w:val="001851F2"/>
    <w:rsid w:val="00185B9E"/>
    <w:rsid w:val="0018620D"/>
    <w:rsid w:val="00186580"/>
    <w:rsid w:val="0018683C"/>
    <w:rsid w:val="00187758"/>
    <w:rsid w:val="0019090D"/>
    <w:rsid w:val="0019208E"/>
    <w:rsid w:val="001922B4"/>
    <w:rsid w:val="00193F7E"/>
    <w:rsid w:val="00194DCE"/>
    <w:rsid w:val="0019740D"/>
    <w:rsid w:val="001A025A"/>
    <w:rsid w:val="001A1ACF"/>
    <w:rsid w:val="001A1B8F"/>
    <w:rsid w:val="001A2775"/>
    <w:rsid w:val="001A27F7"/>
    <w:rsid w:val="001A379A"/>
    <w:rsid w:val="001A439B"/>
    <w:rsid w:val="001A5162"/>
    <w:rsid w:val="001A5F66"/>
    <w:rsid w:val="001A62E0"/>
    <w:rsid w:val="001A661A"/>
    <w:rsid w:val="001A67FE"/>
    <w:rsid w:val="001A7343"/>
    <w:rsid w:val="001A7568"/>
    <w:rsid w:val="001A7CD3"/>
    <w:rsid w:val="001B01D2"/>
    <w:rsid w:val="001B4609"/>
    <w:rsid w:val="001B6194"/>
    <w:rsid w:val="001B6887"/>
    <w:rsid w:val="001C17F0"/>
    <w:rsid w:val="001C30DC"/>
    <w:rsid w:val="001C4BD2"/>
    <w:rsid w:val="001C5AD6"/>
    <w:rsid w:val="001C73B2"/>
    <w:rsid w:val="001C787E"/>
    <w:rsid w:val="001D4E4F"/>
    <w:rsid w:val="001D6001"/>
    <w:rsid w:val="001D7408"/>
    <w:rsid w:val="001D78A2"/>
    <w:rsid w:val="001E1DE7"/>
    <w:rsid w:val="001E2789"/>
    <w:rsid w:val="001E2E62"/>
    <w:rsid w:val="001E36FD"/>
    <w:rsid w:val="001E3E3C"/>
    <w:rsid w:val="001E3EEE"/>
    <w:rsid w:val="001E478B"/>
    <w:rsid w:val="001E5246"/>
    <w:rsid w:val="001E57CD"/>
    <w:rsid w:val="001E77B3"/>
    <w:rsid w:val="001F03D0"/>
    <w:rsid w:val="001F32EB"/>
    <w:rsid w:val="001F3753"/>
    <w:rsid w:val="001F3FCE"/>
    <w:rsid w:val="001F4646"/>
    <w:rsid w:val="001F4831"/>
    <w:rsid w:val="001F4986"/>
    <w:rsid w:val="001F4E62"/>
    <w:rsid w:val="001F5119"/>
    <w:rsid w:val="001F6EF6"/>
    <w:rsid w:val="00200BCC"/>
    <w:rsid w:val="00201097"/>
    <w:rsid w:val="00202D71"/>
    <w:rsid w:val="00204830"/>
    <w:rsid w:val="00205BF0"/>
    <w:rsid w:val="00207940"/>
    <w:rsid w:val="00212AD7"/>
    <w:rsid w:val="00212EC8"/>
    <w:rsid w:val="002164E2"/>
    <w:rsid w:val="0022076E"/>
    <w:rsid w:val="002211B2"/>
    <w:rsid w:val="002232E7"/>
    <w:rsid w:val="00223952"/>
    <w:rsid w:val="002258BE"/>
    <w:rsid w:val="00226302"/>
    <w:rsid w:val="002300C5"/>
    <w:rsid w:val="00231320"/>
    <w:rsid w:val="00231886"/>
    <w:rsid w:val="00234156"/>
    <w:rsid w:val="0023635F"/>
    <w:rsid w:val="00237FFC"/>
    <w:rsid w:val="002403B0"/>
    <w:rsid w:val="00240BFD"/>
    <w:rsid w:val="00241350"/>
    <w:rsid w:val="002459E1"/>
    <w:rsid w:val="00247B42"/>
    <w:rsid w:val="0025025D"/>
    <w:rsid w:val="002506E5"/>
    <w:rsid w:val="002517D6"/>
    <w:rsid w:val="00252B05"/>
    <w:rsid w:val="0025537F"/>
    <w:rsid w:val="00257525"/>
    <w:rsid w:val="00262886"/>
    <w:rsid w:val="0026513E"/>
    <w:rsid w:val="00267E86"/>
    <w:rsid w:val="00271153"/>
    <w:rsid w:val="00271A96"/>
    <w:rsid w:val="00272B63"/>
    <w:rsid w:val="00272E95"/>
    <w:rsid w:val="00272FA7"/>
    <w:rsid w:val="0027411D"/>
    <w:rsid w:val="00274185"/>
    <w:rsid w:val="0027432B"/>
    <w:rsid w:val="00274389"/>
    <w:rsid w:val="00274539"/>
    <w:rsid w:val="00275A67"/>
    <w:rsid w:val="00275C00"/>
    <w:rsid w:val="00276706"/>
    <w:rsid w:val="00280C25"/>
    <w:rsid w:val="00280CCE"/>
    <w:rsid w:val="0028199D"/>
    <w:rsid w:val="00281EAB"/>
    <w:rsid w:val="002821C5"/>
    <w:rsid w:val="00283DF8"/>
    <w:rsid w:val="002843DF"/>
    <w:rsid w:val="002848D2"/>
    <w:rsid w:val="00290FBE"/>
    <w:rsid w:val="00291EF8"/>
    <w:rsid w:val="00295514"/>
    <w:rsid w:val="00295838"/>
    <w:rsid w:val="00296081"/>
    <w:rsid w:val="002977B1"/>
    <w:rsid w:val="002A17B4"/>
    <w:rsid w:val="002A17F7"/>
    <w:rsid w:val="002A361C"/>
    <w:rsid w:val="002A3BF3"/>
    <w:rsid w:val="002A65DE"/>
    <w:rsid w:val="002A7307"/>
    <w:rsid w:val="002A7F51"/>
    <w:rsid w:val="002B14D4"/>
    <w:rsid w:val="002B2392"/>
    <w:rsid w:val="002B55B2"/>
    <w:rsid w:val="002B5680"/>
    <w:rsid w:val="002B5C29"/>
    <w:rsid w:val="002B78B6"/>
    <w:rsid w:val="002C0BB5"/>
    <w:rsid w:val="002C300A"/>
    <w:rsid w:val="002C3075"/>
    <w:rsid w:val="002C3338"/>
    <w:rsid w:val="002C47C0"/>
    <w:rsid w:val="002C52A8"/>
    <w:rsid w:val="002C5E14"/>
    <w:rsid w:val="002C5F39"/>
    <w:rsid w:val="002C6835"/>
    <w:rsid w:val="002C6F86"/>
    <w:rsid w:val="002C7298"/>
    <w:rsid w:val="002C77F8"/>
    <w:rsid w:val="002D38D2"/>
    <w:rsid w:val="002D3AC7"/>
    <w:rsid w:val="002D45B5"/>
    <w:rsid w:val="002D6D3B"/>
    <w:rsid w:val="002D6FC1"/>
    <w:rsid w:val="002D74B5"/>
    <w:rsid w:val="002D7570"/>
    <w:rsid w:val="002D7899"/>
    <w:rsid w:val="002E021D"/>
    <w:rsid w:val="002E025A"/>
    <w:rsid w:val="002E02DA"/>
    <w:rsid w:val="002E0423"/>
    <w:rsid w:val="002E350F"/>
    <w:rsid w:val="002E3845"/>
    <w:rsid w:val="002E3FC2"/>
    <w:rsid w:val="002E44AD"/>
    <w:rsid w:val="002E4B29"/>
    <w:rsid w:val="002E5BF8"/>
    <w:rsid w:val="002E60FE"/>
    <w:rsid w:val="002E7585"/>
    <w:rsid w:val="002E76B8"/>
    <w:rsid w:val="002F13A9"/>
    <w:rsid w:val="002F22F0"/>
    <w:rsid w:val="002F6085"/>
    <w:rsid w:val="002F697B"/>
    <w:rsid w:val="002F6BE3"/>
    <w:rsid w:val="002F7AE5"/>
    <w:rsid w:val="00300FCB"/>
    <w:rsid w:val="00301140"/>
    <w:rsid w:val="00301C23"/>
    <w:rsid w:val="00302EEB"/>
    <w:rsid w:val="00307C90"/>
    <w:rsid w:val="003109C3"/>
    <w:rsid w:val="003113BF"/>
    <w:rsid w:val="00311E25"/>
    <w:rsid w:val="00312041"/>
    <w:rsid w:val="003132DB"/>
    <w:rsid w:val="00315B65"/>
    <w:rsid w:val="003178AE"/>
    <w:rsid w:val="00317A59"/>
    <w:rsid w:val="00317BCD"/>
    <w:rsid w:val="00317EAE"/>
    <w:rsid w:val="00320245"/>
    <w:rsid w:val="0032066E"/>
    <w:rsid w:val="00320773"/>
    <w:rsid w:val="00320E43"/>
    <w:rsid w:val="003251C8"/>
    <w:rsid w:val="0032540A"/>
    <w:rsid w:val="0032672C"/>
    <w:rsid w:val="003279B5"/>
    <w:rsid w:val="00327EC7"/>
    <w:rsid w:val="00330402"/>
    <w:rsid w:val="00330BBF"/>
    <w:rsid w:val="0033373E"/>
    <w:rsid w:val="003353B8"/>
    <w:rsid w:val="0033586C"/>
    <w:rsid w:val="00335C79"/>
    <w:rsid w:val="00336A04"/>
    <w:rsid w:val="00337439"/>
    <w:rsid w:val="00340688"/>
    <w:rsid w:val="00342173"/>
    <w:rsid w:val="00342F87"/>
    <w:rsid w:val="0034331A"/>
    <w:rsid w:val="0034461F"/>
    <w:rsid w:val="00345203"/>
    <w:rsid w:val="00345B3F"/>
    <w:rsid w:val="00346148"/>
    <w:rsid w:val="00346257"/>
    <w:rsid w:val="00346992"/>
    <w:rsid w:val="003478B1"/>
    <w:rsid w:val="0035059C"/>
    <w:rsid w:val="00351645"/>
    <w:rsid w:val="003540A9"/>
    <w:rsid w:val="00355597"/>
    <w:rsid w:val="003556FE"/>
    <w:rsid w:val="00356C9F"/>
    <w:rsid w:val="00357B56"/>
    <w:rsid w:val="0036084C"/>
    <w:rsid w:val="00360A06"/>
    <w:rsid w:val="003643D3"/>
    <w:rsid w:val="0036538C"/>
    <w:rsid w:val="003659A3"/>
    <w:rsid w:val="0036776F"/>
    <w:rsid w:val="00367AA7"/>
    <w:rsid w:val="00367ADD"/>
    <w:rsid w:val="003726BC"/>
    <w:rsid w:val="003738B8"/>
    <w:rsid w:val="0037394B"/>
    <w:rsid w:val="00374A86"/>
    <w:rsid w:val="0037501F"/>
    <w:rsid w:val="00376C3B"/>
    <w:rsid w:val="00377DEF"/>
    <w:rsid w:val="00380838"/>
    <w:rsid w:val="003828D0"/>
    <w:rsid w:val="0038319B"/>
    <w:rsid w:val="003837A1"/>
    <w:rsid w:val="00383D4E"/>
    <w:rsid w:val="00385F62"/>
    <w:rsid w:val="00387D10"/>
    <w:rsid w:val="00392111"/>
    <w:rsid w:val="003922AE"/>
    <w:rsid w:val="0039532C"/>
    <w:rsid w:val="00395EF7"/>
    <w:rsid w:val="00397687"/>
    <w:rsid w:val="003A1578"/>
    <w:rsid w:val="003A1F02"/>
    <w:rsid w:val="003A2362"/>
    <w:rsid w:val="003A273C"/>
    <w:rsid w:val="003A2A9D"/>
    <w:rsid w:val="003A31F9"/>
    <w:rsid w:val="003A458A"/>
    <w:rsid w:val="003A6127"/>
    <w:rsid w:val="003A61FF"/>
    <w:rsid w:val="003A70D5"/>
    <w:rsid w:val="003B0B9F"/>
    <w:rsid w:val="003B28BA"/>
    <w:rsid w:val="003B3B9B"/>
    <w:rsid w:val="003B3C3D"/>
    <w:rsid w:val="003B4766"/>
    <w:rsid w:val="003B51FE"/>
    <w:rsid w:val="003B7AC2"/>
    <w:rsid w:val="003B7FF8"/>
    <w:rsid w:val="003C141D"/>
    <w:rsid w:val="003C27DF"/>
    <w:rsid w:val="003C2BD6"/>
    <w:rsid w:val="003C3272"/>
    <w:rsid w:val="003C38F2"/>
    <w:rsid w:val="003C3DC6"/>
    <w:rsid w:val="003C49BF"/>
    <w:rsid w:val="003C4BA9"/>
    <w:rsid w:val="003C4F74"/>
    <w:rsid w:val="003C5333"/>
    <w:rsid w:val="003C5D81"/>
    <w:rsid w:val="003C6075"/>
    <w:rsid w:val="003C6E14"/>
    <w:rsid w:val="003D02B8"/>
    <w:rsid w:val="003D26AD"/>
    <w:rsid w:val="003D6E96"/>
    <w:rsid w:val="003D7910"/>
    <w:rsid w:val="003E0CE3"/>
    <w:rsid w:val="003E0FF2"/>
    <w:rsid w:val="003E10D8"/>
    <w:rsid w:val="003E13D8"/>
    <w:rsid w:val="003E14D4"/>
    <w:rsid w:val="003E40BF"/>
    <w:rsid w:val="003E4757"/>
    <w:rsid w:val="003E4D0B"/>
    <w:rsid w:val="003E5050"/>
    <w:rsid w:val="003E51F3"/>
    <w:rsid w:val="003E688A"/>
    <w:rsid w:val="003E6AE3"/>
    <w:rsid w:val="003F01C1"/>
    <w:rsid w:val="003F0EC7"/>
    <w:rsid w:val="003F3320"/>
    <w:rsid w:val="003F4A2E"/>
    <w:rsid w:val="003F6DEB"/>
    <w:rsid w:val="003F6E90"/>
    <w:rsid w:val="00400A1E"/>
    <w:rsid w:val="004016C1"/>
    <w:rsid w:val="00401D0F"/>
    <w:rsid w:val="0040336A"/>
    <w:rsid w:val="00403D0E"/>
    <w:rsid w:val="00404064"/>
    <w:rsid w:val="004045D5"/>
    <w:rsid w:val="00404902"/>
    <w:rsid w:val="0040675D"/>
    <w:rsid w:val="0040692B"/>
    <w:rsid w:val="004105E9"/>
    <w:rsid w:val="004118B8"/>
    <w:rsid w:val="00413D08"/>
    <w:rsid w:val="00414DEA"/>
    <w:rsid w:val="00415B3D"/>
    <w:rsid w:val="004167CE"/>
    <w:rsid w:val="00416D77"/>
    <w:rsid w:val="0041718B"/>
    <w:rsid w:val="00417AEF"/>
    <w:rsid w:val="00420858"/>
    <w:rsid w:val="00420922"/>
    <w:rsid w:val="0042165A"/>
    <w:rsid w:val="00421DD0"/>
    <w:rsid w:val="004234A0"/>
    <w:rsid w:val="00424520"/>
    <w:rsid w:val="00424A3D"/>
    <w:rsid w:val="00424A70"/>
    <w:rsid w:val="00425A29"/>
    <w:rsid w:val="00425CF5"/>
    <w:rsid w:val="00426153"/>
    <w:rsid w:val="00426170"/>
    <w:rsid w:val="004271D9"/>
    <w:rsid w:val="00432FE8"/>
    <w:rsid w:val="00434856"/>
    <w:rsid w:val="00434B53"/>
    <w:rsid w:val="00435913"/>
    <w:rsid w:val="00435BEF"/>
    <w:rsid w:val="00435C5E"/>
    <w:rsid w:val="00436613"/>
    <w:rsid w:val="00436E80"/>
    <w:rsid w:val="004401F2"/>
    <w:rsid w:val="00441096"/>
    <w:rsid w:val="00443534"/>
    <w:rsid w:val="004439FE"/>
    <w:rsid w:val="004478DC"/>
    <w:rsid w:val="004500BA"/>
    <w:rsid w:val="00450F52"/>
    <w:rsid w:val="0045197F"/>
    <w:rsid w:val="0045313C"/>
    <w:rsid w:val="00453515"/>
    <w:rsid w:val="00454DE3"/>
    <w:rsid w:val="004554B3"/>
    <w:rsid w:val="00455E2A"/>
    <w:rsid w:val="00456801"/>
    <w:rsid w:val="00456B28"/>
    <w:rsid w:val="00456FA8"/>
    <w:rsid w:val="00461450"/>
    <w:rsid w:val="00462394"/>
    <w:rsid w:val="00463F89"/>
    <w:rsid w:val="00463FF3"/>
    <w:rsid w:val="00467ACA"/>
    <w:rsid w:val="00467EC7"/>
    <w:rsid w:val="004700FD"/>
    <w:rsid w:val="00470679"/>
    <w:rsid w:val="00470F6A"/>
    <w:rsid w:val="004714A5"/>
    <w:rsid w:val="00471ADE"/>
    <w:rsid w:val="00472377"/>
    <w:rsid w:val="004739D1"/>
    <w:rsid w:val="00474A04"/>
    <w:rsid w:val="00476295"/>
    <w:rsid w:val="0048070B"/>
    <w:rsid w:val="00480F55"/>
    <w:rsid w:val="004821DF"/>
    <w:rsid w:val="004829AF"/>
    <w:rsid w:val="00483166"/>
    <w:rsid w:val="00483FF1"/>
    <w:rsid w:val="00484AE8"/>
    <w:rsid w:val="00484E89"/>
    <w:rsid w:val="004856F4"/>
    <w:rsid w:val="00485EF9"/>
    <w:rsid w:val="004867FB"/>
    <w:rsid w:val="004874E0"/>
    <w:rsid w:val="004906D3"/>
    <w:rsid w:val="004911DA"/>
    <w:rsid w:val="00492995"/>
    <w:rsid w:val="00492CFE"/>
    <w:rsid w:val="00492ED3"/>
    <w:rsid w:val="004932EE"/>
    <w:rsid w:val="00493F6E"/>
    <w:rsid w:val="00494B24"/>
    <w:rsid w:val="0049728B"/>
    <w:rsid w:val="004A01C2"/>
    <w:rsid w:val="004A2EDC"/>
    <w:rsid w:val="004A39C4"/>
    <w:rsid w:val="004A3B5F"/>
    <w:rsid w:val="004A42E5"/>
    <w:rsid w:val="004A4CA0"/>
    <w:rsid w:val="004A5057"/>
    <w:rsid w:val="004A58B0"/>
    <w:rsid w:val="004A687F"/>
    <w:rsid w:val="004A6EE1"/>
    <w:rsid w:val="004B42CF"/>
    <w:rsid w:val="004B725C"/>
    <w:rsid w:val="004B75D1"/>
    <w:rsid w:val="004C04A1"/>
    <w:rsid w:val="004C0C98"/>
    <w:rsid w:val="004C2F4F"/>
    <w:rsid w:val="004C3C78"/>
    <w:rsid w:val="004C3E09"/>
    <w:rsid w:val="004D2366"/>
    <w:rsid w:val="004D2912"/>
    <w:rsid w:val="004D3957"/>
    <w:rsid w:val="004D4B31"/>
    <w:rsid w:val="004D5A2D"/>
    <w:rsid w:val="004D6217"/>
    <w:rsid w:val="004E0F4D"/>
    <w:rsid w:val="004E1310"/>
    <w:rsid w:val="004E1AEB"/>
    <w:rsid w:val="004E2CDC"/>
    <w:rsid w:val="004E3202"/>
    <w:rsid w:val="004E3879"/>
    <w:rsid w:val="004E6148"/>
    <w:rsid w:val="004E6452"/>
    <w:rsid w:val="004E6D57"/>
    <w:rsid w:val="004E7F62"/>
    <w:rsid w:val="004F06EB"/>
    <w:rsid w:val="004F130A"/>
    <w:rsid w:val="004F14E9"/>
    <w:rsid w:val="004F323F"/>
    <w:rsid w:val="004F55D5"/>
    <w:rsid w:val="00500F32"/>
    <w:rsid w:val="005030E2"/>
    <w:rsid w:val="00503EFC"/>
    <w:rsid w:val="00505678"/>
    <w:rsid w:val="00510062"/>
    <w:rsid w:val="00510D1E"/>
    <w:rsid w:val="00512B97"/>
    <w:rsid w:val="005136B1"/>
    <w:rsid w:val="005148F3"/>
    <w:rsid w:val="00514F12"/>
    <w:rsid w:val="00520356"/>
    <w:rsid w:val="00520F23"/>
    <w:rsid w:val="00521D75"/>
    <w:rsid w:val="00523584"/>
    <w:rsid w:val="00525982"/>
    <w:rsid w:val="00525FBA"/>
    <w:rsid w:val="00526110"/>
    <w:rsid w:val="00527ADC"/>
    <w:rsid w:val="00530FE9"/>
    <w:rsid w:val="0053203F"/>
    <w:rsid w:val="0053423F"/>
    <w:rsid w:val="00534522"/>
    <w:rsid w:val="00534D09"/>
    <w:rsid w:val="00535A61"/>
    <w:rsid w:val="00537F3B"/>
    <w:rsid w:val="00540C17"/>
    <w:rsid w:val="00541682"/>
    <w:rsid w:val="005468D9"/>
    <w:rsid w:val="0054711D"/>
    <w:rsid w:val="00547A6D"/>
    <w:rsid w:val="00551C14"/>
    <w:rsid w:val="00551C5B"/>
    <w:rsid w:val="00552655"/>
    <w:rsid w:val="00553564"/>
    <w:rsid w:val="00553658"/>
    <w:rsid w:val="00553D6D"/>
    <w:rsid w:val="00562AC0"/>
    <w:rsid w:val="005637FD"/>
    <w:rsid w:val="00565D5D"/>
    <w:rsid w:val="0056680A"/>
    <w:rsid w:val="00567E19"/>
    <w:rsid w:val="005705D8"/>
    <w:rsid w:val="005708E8"/>
    <w:rsid w:val="00572154"/>
    <w:rsid w:val="00573050"/>
    <w:rsid w:val="00573267"/>
    <w:rsid w:val="0057345E"/>
    <w:rsid w:val="00574659"/>
    <w:rsid w:val="005762C0"/>
    <w:rsid w:val="00576A9D"/>
    <w:rsid w:val="005778BC"/>
    <w:rsid w:val="0058013B"/>
    <w:rsid w:val="005806AB"/>
    <w:rsid w:val="005822B7"/>
    <w:rsid w:val="00582DE0"/>
    <w:rsid w:val="00582F6B"/>
    <w:rsid w:val="00583488"/>
    <w:rsid w:val="0058539B"/>
    <w:rsid w:val="00585AB3"/>
    <w:rsid w:val="00585DC7"/>
    <w:rsid w:val="00586898"/>
    <w:rsid w:val="00586F6A"/>
    <w:rsid w:val="00595B1B"/>
    <w:rsid w:val="005969CD"/>
    <w:rsid w:val="00596F7B"/>
    <w:rsid w:val="005A01AB"/>
    <w:rsid w:val="005A0F13"/>
    <w:rsid w:val="005A16C5"/>
    <w:rsid w:val="005A54C7"/>
    <w:rsid w:val="005A6045"/>
    <w:rsid w:val="005A6487"/>
    <w:rsid w:val="005A6DA8"/>
    <w:rsid w:val="005A6FF8"/>
    <w:rsid w:val="005A7266"/>
    <w:rsid w:val="005B09BA"/>
    <w:rsid w:val="005B09D2"/>
    <w:rsid w:val="005B10FF"/>
    <w:rsid w:val="005B1894"/>
    <w:rsid w:val="005B307E"/>
    <w:rsid w:val="005B3362"/>
    <w:rsid w:val="005B352F"/>
    <w:rsid w:val="005B3B7C"/>
    <w:rsid w:val="005B40C7"/>
    <w:rsid w:val="005B47EE"/>
    <w:rsid w:val="005B76BF"/>
    <w:rsid w:val="005C19EC"/>
    <w:rsid w:val="005C2BED"/>
    <w:rsid w:val="005C3DAC"/>
    <w:rsid w:val="005C454A"/>
    <w:rsid w:val="005C4F8C"/>
    <w:rsid w:val="005C59B2"/>
    <w:rsid w:val="005C5B66"/>
    <w:rsid w:val="005C61F6"/>
    <w:rsid w:val="005C712C"/>
    <w:rsid w:val="005C71A8"/>
    <w:rsid w:val="005C720A"/>
    <w:rsid w:val="005C73CD"/>
    <w:rsid w:val="005D051E"/>
    <w:rsid w:val="005D0673"/>
    <w:rsid w:val="005D0E9D"/>
    <w:rsid w:val="005D35A2"/>
    <w:rsid w:val="005D3AED"/>
    <w:rsid w:val="005D436E"/>
    <w:rsid w:val="005D4C9F"/>
    <w:rsid w:val="005D5793"/>
    <w:rsid w:val="005D59E6"/>
    <w:rsid w:val="005D7245"/>
    <w:rsid w:val="005E0981"/>
    <w:rsid w:val="005E1BA4"/>
    <w:rsid w:val="005E31FC"/>
    <w:rsid w:val="005E3AF8"/>
    <w:rsid w:val="005E3B3A"/>
    <w:rsid w:val="005E3E99"/>
    <w:rsid w:val="005F0371"/>
    <w:rsid w:val="005F3791"/>
    <w:rsid w:val="005F4DCA"/>
    <w:rsid w:val="005F563F"/>
    <w:rsid w:val="005F6188"/>
    <w:rsid w:val="005F72D7"/>
    <w:rsid w:val="005F7579"/>
    <w:rsid w:val="005F7FF4"/>
    <w:rsid w:val="006001EF"/>
    <w:rsid w:val="006006C1"/>
    <w:rsid w:val="00601077"/>
    <w:rsid w:val="00601238"/>
    <w:rsid w:val="00601FF3"/>
    <w:rsid w:val="00603787"/>
    <w:rsid w:val="00607FEB"/>
    <w:rsid w:val="00610CD2"/>
    <w:rsid w:val="00612766"/>
    <w:rsid w:val="00613DB3"/>
    <w:rsid w:val="00614B88"/>
    <w:rsid w:val="00614C62"/>
    <w:rsid w:val="006152CF"/>
    <w:rsid w:val="006155A1"/>
    <w:rsid w:val="00615A7B"/>
    <w:rsid w:val="006166D6"/>
    <w:rsid w:val="00616EAE"/>
    <w:rsid w:val="00617F05"/>
    <w:rsid w:val="006210F7"/>
    <w:rsid w:val="00622040"/>
    <w:rsid w:val="00623A4A"/>
    <w:rsid w:val="00623E47"/>
    <w:rsid w:val="00625BB1"/>
    <w:rsid w:val="006263AC"/>
    <w:rsid w:val="00626A4A"/>
    <w:rsid w:val="006271E8"/>
    <w:rsid w:val="006273F8"/>
    <w:rsid w:val="00627791"/>
    <w:rsid w:val="0062794A"/>
    <w:rsid w:val="00627E47"/>
    <w:rsid w:val="006302FB"/>
    <w:rsid w:val="0063044B"/>
    <w:rsid w:val="006310FA"/>
    <w:rsid w:val="00631514"/>
    <w:rsid w:val="00632A9D"/>
    <w:rsid w:val="00633B49"/>
    <w:rsid w:val="0063578C"/>
    <w:rsid w:val="00636DDD"/>
    <w:rsid w:val="0064047A"/>
    <w:rsid w:val="006422B3"/>
    <w:rsid w:val="0064345A"/>
    <w:rsid w:val="00644325"/>
    <w:rsid w:val="00644798"/>
    <w:rsid w:val="00644C59"/>
    <w:rsid w:val="006452B0"/>
    <w:rsid w:val="0064722E"/>
    <w:rsid w:val="00647BDF"/>
    <w:rsid w:val="0065193C"/>
    <w:rsid w:val="0065232D"/>
    <w:rsid w:val="00652C46"/>
    <w:rsid w:val="00652DBF"/>
    <w:rsid w:val="0065330D"/>
    <w:rsid w:val="00655242"/>
    <w:rsid w:val="00660265"/>
    <w:rsid w:val="006609CE"/>
    <w:rsid w:val="00660A94"/>
    <w:rsid w:val="00660C33"/>
    <w:rsid w:val="0066128C"/>
    <w:rsid w:val="0066192B"/>
    <w:rsid w:val="00662280"/>
    <w:rsid w:val="00662601"/>
    <w:rsid w:val="00663DCA"/>
    <w:rsid w:val="006658E1"/>
    <w:rsid w:val="00666325"/>
    <w:rsid w:val="00667445"/>
    <w:rsid w:val="006712BF"/>
    <w:rsid w:val="00671EFE"/>
    <w:rsid w:val="006721E7"/>
    <w:rsid w:val="0067408C"/>
    <w:rsid w:val="00676C17"/>
    <w:rsid w:val="00677E4B"/>
    <w:rsid w:val="00680052"/>
    <w:rsid w:val="006807DA"/>
    <w:rsid w:val="00682FBF"/>
    <w:rsid w:val="00683CCC"/>
    <w:rsid w:val="006841A3"/>
    <w:rsid w:val="00685550"/>
    <w:rsid w:val="006860B9"/>
    <w:rsid w:val="006878BB"/>
    <w:rsid w:val="00690DD2"/>
    <w:rsid w:val="00693476"/>
    <w:rsid w:val="00694D36"/>
    <w:rsid w:val="00695625"/>
    <w:rsid w:val="00695BBC"/>
    <w:rsid w:val="006963F9"/>
    <w:rsid w:val="0069687E"/>
    <w:rsid w:val="00696B05"/>
    <w:rsid w:val="006A1835"/>
    <w:rsid w:val="006A21EA"/>
    <w:rsid w:val="006A381E"/>
    <w:rsid w:val="006A4FA0"/>
    <w:rsid w:val="006A666B"/>
    <w:rsid w:val="006A6A09"/>
    <w:rsid w:val="006A6BF0"/>
    <w:rsid w:val="006A7E7C"/>
    <w:rsid w:val="006B06D6"/>
    <w:rsid w:val="006B0B84"/>
    <w:rsid w:val="006B0F28"/>
    <w:rsid w:val="006B3A29"/>
    <w:rsid w:val="006B4BE0"/>
    <w:rsid w:val="006B762D"/>
    <w:rsid w:val="006B7CF7"/>
    <w:rsid w:val="006C09DB"/>
    <w:rsid w:val="006C11F6"/>
    <w:rsid w:val="006C13BB"/>
    <w:rsid w:val="006C1548"/>
    <w:rsid w:val="006C33F1"/>
    <w:rsid w:val="006C6E0C"/>
    <w:rsid w:val="006C7705"/>
    <w:rsid w:val="006D1507"/>
    <w:rsid w:val="006D2F73"/>
    <w:rsid w:val="006D3136"/>
    <w:rsid w:val="006D34F8"/>
    <w:rsid w:val="006D40DC"/>
    <w:rsid w:val="006D4A1C"/>
    <w:rsid w:val="006D5294"/>
    <w:rsid w:val="006D553D"/>
    <w:rsid w:val="006D577D"/>
    <w:rsid w:val="006D6C16"/>
    <w:rsid w:val="006E0717"/>
    <w:rsid w:val="006E08D9"/>
    <w:rsid w:val="006E130A"/>
    <w:rsid w:val="006E2173"/>
    <w:rsid w:val="006E233A"/>
    <w:rsid w:val="006E3B54"/>
    <w:rsid w:val="006E438D"/>
    <w:rsid w:val="006E536E"/>
    <w:rsid w:val="006E585F"/>
    <w:rsid w:val="006E5B59"/>
    <w:rsid w:val="006E6BC8"/>
    <w:rsid w:val="006F049E"/>
    <w:rsid w:val="006F2E49"/>
    <w:rsid w:val="006F3C19"/>
    <w:rsid w:val="006F542D"/>
    <w:rsid w:val="006F5784"/>
    <w:rsid w:val="006F5819"/>
    <w:rsid w:val="006F5D5D"/>
    <w:rsid w:val="006F7686"/>
    <w:rsid w:val="00700A34"/>
    <w:rsid w:val="00700BBC"/>
    <w:rsid w:val="00701EF6"/>
    <w:rsid w:val="00702C16"/>
    <w:rsid w:val="00702E00"/>
    <w:rsid w:val="00704D1E"/>
    <w:rsid w:val="007063F6"/>
    <w:rsid w:val="00706671"/>
    <w:rsid w:val="00706A04"/>
    <w:rsid w:val="00707B27"/>
    <w:rsid w:val="00712124"/>
    <w:rsid w:val="00712156"/>
    <w:rsid w:val="007133AD"/>
    <w:rsid w:val="00720106"/>
    <w:rsid w:val="00720146"/>
    <w:rsid w:val="007215B8"/>
    <w:rsid w:val="007222F6"/>
    <w:rsid w:val="007248C0"/>
    <w:rsid w:val="007265C9"/>
    <w:rsid w:val="0072689A"/>
    <w:rsid w:val="00730AA6"/>
    <w:rsid w:val="00731AD3"/>
    <w:rsid w:val="007323E1"/>
    <w:rsid w:val="00732B30"/>
    <w:rsid w:val="007346C5"/>
    <w:rsid w:val="00734797"/>
    <w:rsid w:val="00734D34"/>
    <w:rsid w:val="00735130"/>
    <w:rsid w:val="00735B9D"/>
    <w:rsid w:val="0073645A"/>
    <w:rsid w:val="007370B2"/>
    <w:rsid w:val="007379A2"/>
    <w:rsid w:val="00740EF5"/>
    <w:rsid w:val="0074133A"/>
    <w:rsid w:val="00742696"/>
    <w:rsid w:val="00743752"/>
    <w:rsid w:val="00745A5C"/>
    <w:rsid w:val="00745AD6"/>
    <w:rsid w:val="00746829"/>
    <w:rsid w:val="0074715A"/>
    <w:rsid w:val="00751228"/>
    <w:rsid w:val="00752659"/>
    <w:rsid w:val="00753DF3"/>
    <w:rsid w:val="0075477D"/>
    <w:rsid w:val="00756E87"/>
    <w:rsid w:val="007573F4"/>
    <w:rsid w:val="0075758D"/>
    <w:rsid w:val="00757E33"/>
    <w:rsid w:val="007602C8"/>
    <w:rsid w:val="00760E45"/>
    <w:rsid w:val="007611A0"/>
    <w:rsid w:val="00762890"/>
    <w:rsid w:val="0076292B"/>
    <w:rsid w:val="00763645"/>
    <w:rsid w:val="007638F7"/>
    <w:rsid w:val="00763936"/>
    <w:rsid w:val="00763E98"/>
    <w:rsid w:val="00765F18"/>
    <w:rsid w:val="007670E3"/>
    <w:rsid w:val="00770F60"/>
    <w:rsid w:val="00771825"/>
    <w:rsid w:val="00771B06"/>
    <w:rsid w:val="0077239C"/>
    <w:rsid w:val="00775201"/>
    <w:rsid w:val="00776E8E"/>
    <w:rsid w:val="0077710A"/>
    <w:rsid w:val="00780648"/>
    <w:rsid w:val="00781870"/>
    <w:rsid w:val="007825BE"/>
    <w:rsid w:val="00782A98"/>
    <w:rsid w:val="0078481A"/>
    <w:rsid w:val="00784ECA"/>
    <w:rsid w:val="00785F44"/>
    <w:rsid w:val="0078707B"/>
    <w:rsid w:val="00790D21"/>
    <w:rsid w:val="00790ECF"/>
    <w:rsid w:val="0079190A"/>
    <w:rsid w:val="00792A7B"/>
    <w:rsid w:val="00794E8B"/>
    <w:rsid w:val="0079751E"/>
    <w:rsid w:val="007A0491"/>
    <w:rsid w:val="007A23BC"/>
    <w:rsid w:val="007A24A5"/>
    <w:rsid w:val="007A2CF2"/>
    <w:rsid w:val="007A7F79"/>
    <w:rsid w:val="007B1376"/>
    <w:rsid w:val="007B1794"/>
    <w:rsid w:val="007B27EA"/>
    <w:rsid w:val="007B3E1E"/>
    <w:rsid w:val="007B4082"/>
    <w:rsid w:val="007B5079"/>
    <w:rsid w:val="007B7BD9"/>
    <w:rsid w:val="007C0910"/>
    <w:rsid w:val="007C0E5F"/>
    <w:rsid w:val="007C18F9"/>
    <w:rsid w:val="007C1C4C"/>
    <w:rsid w:val="007C1D5E"/>
    <w:rsid w:val="007C1ED0"/>
    <w:rsid w:val="007C20ED"/>
    <w:rsid w:val="007C2760"/>
    <w:rsid w:val="007C2FE4"/>
    <w:rsid w:val="007C3F35"/>
    <w:rsid w:val="007C4ECC"/>
    <w:rsid w:val="007D2D9E"/>
    <w:rsid w:val="007D34E7"/>
    <w:rsid w:val="007D4C2E"/>
    <w:rsid w:val="007D5230"/>
    <w:rsid w:val="007D528B"/>
    <w:rsid w:val="007D6513"/>
    <w:rsid w:val="007E1786"/>
    <w:rsid w:val="007E449E"/>
    <w:rsid w:val="007E4B66"/>
    <w:rsid w:val="007E5FC0"/>
    <w:rsid w:val="007E7327"/>
    <w:rsid w:val="007F0622"/>
    <w:rsid w:val="007F08B4"/>
    <w:rsid w:val="007F22D7"/>
    <w:rsid w:val="007F2FCF"/>
    <w:rsid w:val="007F324D"/>
    <w:rsid w:val="007F3CA8"/>
    <w:rsid w:val="007F3E5B"/>
    <w:rsid w:val="007F493E"/>
    <w:rsid w:val="007F4B0C"/>
    <w:rsid w:val="007F4B29"/>
    <w:rsid w:val="007F51B8"/>
    <w:rsid w:val="007F6E11"/>
    <w:rsid w:val="00804842"/>
    <w:rsid w:val="00804F16"/>
    <w:rsid w:val="00810F7D"/>
    <w:rsid w:val="00812A8D"/>
    <w:rsid w:val="008136DA"/>
    <w:rsid w:val="00814CEB"/>
    <w:rsid w:val="00814E9B"/>
    <w:rsid w:val="008151FD"/>
    <w:rsid w:val="00816428"/>
    <w:rsid w:val="008167D4"/>
    <w:rsid w:val="00820B34"/>
    <w:rsid w:val="00821144"/>
    <w:rsid w:val="00822B82"/>
    <w:rsid w:val="00827054"/>
    <w:rsid w:val="00830077"/>
    <w:rsid w:val="008307FB"/>
    <w:rsid w:val="008314B4"/>
    <w:rsid w:val="00831ACF"/>
    <w:rsid w:val="00831FFB"/>
    <w:rsid w:val="0083206F"/>
    <w:rsid w:val="00832800"/>
    <w:rsid w:val="00832863"/>
    <w:rsid w:val="00832F5F"/>
    <w:rsid w:val="00833D0A"/>
    <w:rsid w:val="00834330"/>
    <w:rsid w:val="008343F9"/>
    <w:rsid w:val="0083594B"/>
    <w:rsid w:val="00840B9A"/>
    <w:rsid w:val="00842871"/>
    <w:rsid w:val="008443F4"/>
    <w:rsid w:val="00845970"/>
    <w:rsid w:val="00845D9B"/>
    <w:rsid w:val="00846AAB"/>
    <w:rsid w:val="00846DFD"/>
    <w:rsid w:val="008536ED"/>
    <w:rsid w:val="00854D7D"/>
    <w:rsid w:val="008560C1"/>
    <w:rsid w:val="00860DFE"/>
    <w:rsid w:val="00861686"/>
    <w:rsid w:val="00864981"/>
    <w:rsid w:val="00864B38"/>
    <w:rsid w:val="00865AA3"/>
    <w:rsid w:val="00866707"/>
    <w:rsid w:val="00867E30"/>
    <w:rsid w:val="00870095"/>
    <w:rsid w:val="0087191D"/>
    <w:rsid w:val="00872966"/>
    <w:rsid w:val="00874133"/>
    <w:rsid w:val="008752ED"/>
    <w:rsid w:val="00876651"/>
    <w:rsid w:val="008778FF"/>
    <w:rsid w:val="00877F67"/>
    <w:rsid w:val="00881A3D"/>
    <w:rsid w:val="008824DC"/>
    <w:rsid w:val="0088272F"/>
    <w:rsid w:val="00882F74"/>
    <w:rsid w:val="00885F20"/>
    <w:rsid w:val="008872BF"/>
    <w:rsid w:val="008906F4"/>
    <w:rsid w:val="00890C8C"/>
    <w:rsid w:val="0089132E"/>
    <w:rsid w:val="00891C33"/>
    <w:rsid w:val="008927BD"/>
    <w:rsid w:val="00893001"/>
    <w:rsid w:val="00893321"/>
    <w:rsid w:val="00896996"/>
    <w:rsid w:val="008979BC"/>
    <w:rsid w:val="008A022F"/>
    <w:rsid w:val="008A0DBF"/>
    <w:rsid w:val="008A29D5"/>
    <w:rsid w:val="008A2E0F"/>
    <w:rsid w:val="008A32AF"/>
    <w:rsid w:val="008A357A"/>
    <w:rsid w:val="008A36B0"/>
    <w:rsid w:val="008A3A7B"/>
    <w:rsid w:val="008A56AD"/>
    <w:rsid w:val="008A6911"/>
    <w:rsid w:val="008B02E1"/>
    <w:rsid w:val="008B1AFF"/>
    <w:rsid w:val="008B3ABB"/>
    <w:rsid w:val="008B3EBD"/>
    <w:rsid w:val="008B73D9"/>
    <w:rsid w:val="008B7D15"/>
    <w:rsid w:val="008C17AE"/>
    <w:rsid w:val="008C1FD0"/>
    <w:rsid w:val="008C2F12"/>
    <w:rsid w:val="008C4508"/>
    <w:rsid w:val="008C4FC0"/>
    <w:rsid w:val="008C504B"/>
    <w:rsid w:val="008C7418"/>
    <w:rsid w:val="008C7ABF"/>
    <w:rsid w:val="008C7F4C"/>
    <w:rsid w:val="008D14CD"/>
    <w:rsid w:val="008D3726"/>
    <w:rsid w:val="008D3ACD"/>
    <w:rsid w:val="008D3DCD"/>
    <w:rsid w:val="008D4CA9"/>
    <w:rsid w:val="008D5499"/>
    <w:rsid w:val="008D58C2"/>
    <w:rsid w:val="008D643D"/>
    <w:rsid w:val="008E0165"/>
    <w:rsid w:val="008E0659"/>
    <w:rsid w:val="008E1A4E"/>
    <w:rsid w:val="008E1D9E"/>
    <w:rsid w:val="008E2964"/>
    <w:rsid w:val="008E3D49"/>
    <w:rsid w:val="008E639F"/>
    <w:rsid w:val="008E6730"/>
    <w:rsid w:val="008E693D"/>
    <w:rsid w:val="008E79E5"/>
    <w:rsid w:val="008E7FB7"/>
    <w:rsid w:val="008F109B"/>
    <w:rsid w:val="008F1D4C"/>
    <w:rsid w:val="008F28DA"/>
    <w:rsid w:val="008F35FF"/>
    <w:rsid w:val="008F400D"/>
    <w:rsid w:val="008F4399"/>
    <w:rsid w:val="008F450A"/>
    <w:rsid w:val="008F5077"/>
    <w:rsid w:val="008F67A6"/>
    <w:rsid w:val="008F6C0C"/>
    <w:rsid w:val="008F6E70"/>
    <w:rsid w:val="008F6F11"/>
    <w:rsid w:val="008F72D2"/>
    <w:rsid w:val="00900EBE"/>
    <w:rsid w:val="00902236"/>
    <w:rsid w:val="0090355E"/>
    <w:rsid w:val="00903CA8"/>
    <w:rsid w:val="00904B4B"/>
    <w:rsid w:val="009055AB"/>
    <w:rsid w:val="009062A4"/>
    <w:rsid w:val="00907B26"/>
    <w:rsid w:val="00907BB5"/>
    <w:rsid w:val="0091019A"/>
    <w:rsid w:val="0091056B"/>
    <w:rsid w:val="00910AD2"/>
    <w:rsid w:val="00912878"/>
    <w:rsid w:val="00913614"/>
    <w:rsid w:val="00914029"/>
    <w:rsid w:val="009147F0"/>
    <w:rsid w:val="00916953"/>
    <w:rsid w:val="00917C11"/>
    <w:rsid w:val="0092186E"/>
    <w:rsid w:val="009224BB"/>
    <w:rsid w:val="00922D62"/>
    <w:rsid w:val="00923C10"/>
    <w:rsid w:val="00923E93"/>
    <w:rsid w:val="009241FD"/>
    <w:rsid w:val="00925E7E"/>
    <w:rsid w:val="00927B69"/>
    <w:rsid w:val="009301DD"/>
    <w:rsid w:val="0093183E"/>
    <w:rsid w:val="00932052"/>
    <w:rsid w:val="00932393"/>
    <w:rsid w:val="00934333"/>
    <w:rsid w:val="009343D7"/>
    <w:rsid w:val="00935358"/>
    <w:rsid w:val="009373E0"/>
    <w:rsid w:val="00940E11"/>
    <w:rsid w:val="00942125"/>
    <w:rsid w:val="00942B1D"/>
    <w:rsid w:val="00944CCA"/>
    <w:rsid w:val="00945A69"/>
    <w:rsid w:val="00947768"/>
    <w:rsid w:val="00952244"/>
    <w:rsid w:val="009530EA"/>
    <w:rsid w:val="00953FA9"/>
    <w:rsid w:val="009608E3"/>
    <w:rsid w:val="00960C7F"/>
    <w:rsid w:val="00961C77"/>
    <w:rsid w:val="009623CA"/>
    <w:rsid w:val="009675BA"/>
    <w:rsid w:val="00971AE1"/>
    <w:rsid w:val="00971B23"/>
    <w:rsid w:val="0097564F"/>
    <w:rsid w:val="00976F41"/>
    <w:rsid w:val="00977136"/>
    <w:rsid w:val="00980A57"/>
    <w:rsid w:val="00980BE3"/>
    <w:rsid w:val="0098291B"/>
    <w:rsid w:val="00983017"/>
    <w:rsid w:val="00984481"/>
    <w:rsid w:val="00985245"/>
    <w:rsid w:val="00985B14"/>
    <w:rsid w:val="009869E0"/>
    <w:rsid w:val="00987101"/>
    <w:rsid w:val="009906DB"/>
    <w:rsid w:val="00990826"/>
    <w:rsid w:val="00990C31"/>
    <w:rsid w:val="009926B8"/>
    <w:rsid w:val="00993DEC"/>
    <w:rsid w:val="0099711E"/>
    <w:rsid w:val="00997C02"/>
    <w:rsid w:val="009A000D"/>
    <w:rsid w:val="009A08D9"/>
    <w:rsid w:val="009A1975"/>
    <w:rsid w:val="009A2280"/>
    <w:rsid w:val="009A2BC6"/>
    <w:rsid w:val="009A3A94"/>
    <w:rsid w:val="009A69D3"/>
    <w:rsid w:val="009A6A26"/>
    <w:rsid w:val="009A6B37"/>
    <w:rsid w:val="009A7927"/>
    <w:rsid w:val="009B0C6D"/>
    <w:rsid w:val="009B1E0B"/>
    <w:rsid w:val="009B1FDB"/>
    <w:rsid w:val="009B2A83"/>
    <w:rsid w:val="009B3CE3"/>
    <w:rsid w:val="009B3E45"/>
    <w:rsid w:val="009B4F99"/>
    <w:rsid w:val="009B5CF1"/>
    <w:rsid w:val="009B5D46"/>
    <w:rsid w:val="009B690E"/>
    <w:rsid w:val="009B6F3D"/>
    <w:rsid w:val="009B7AA7"/>
    <w:rsid w:val="009C1055"/>
    <w:rsid w:val="009C1899"/>
    <w:rsid w:val="009C2A8F"/>
    <w:rsid w:val="009C33A8"/>
    <w:rsid w:val="009C4623"/>
    <w:rsid w:val="009C465B"/>
    <w:rsid w:val="009D09B2"/>
    <w:rsid w:val="009D1C6B"/>
    <w:rsid w:val="009D1E1C"/>
    <w:rsid w:val="009D2FE3"/>
    <w:rsid w:val="009D3142"/>
    <w:rsid w:val="009D39C1"/>
    <w:rsid w:val="009D3F8A"/>
    <w:rsid w:val="009D52AC"/>
    <w:rsid w:val="009D7005"/>
    <w:rsid w:val="009D73D8"/>
    <w:rsid w:val="009D7D3F"/>
    <w:rsid w:val="009E06D6"/>
    <w:rsid w:val="009E0DFA"/>
    <w:rsid w:val="009E16EF"/>
    <w:rsid w:val="009E20EF"/>
    <w:rsid w:val="009E224B"/>
    <w:rsid w:val="009E2870"/>
    <w:rsid w:val="009E2E90"/>
    <w:rsid w:val="009E2FB3"/>
    <w:rsid w:val="009E3595"/>
    <w:rsid w:val="009E4279"/>
    <w:rsid w:val="009E44E4"/>
    <w:rsid w:val="009E77FA"/>
    <w:rsid w:val="009F0449"/>
    <w:rsid w:val="009F0B4D"/>
    <w:rsid w:val="009F23BB"/>
    <w:rsid w:val="009F31E8"/>
    <w:rsid w:val="009F41B7"/>
    <w:rsid w:val="009F5304"/>
    <w:rsid w:val="009F5426"/>
    <w:rsid w:val="009F569A"/>
    <w:rsid w:val="009F71E7"/>
    <w:rsid w:val="009F741B"/>
    <w:rsid w:val="00A00759"/>
    <w:rsid w:val="00A0270B"/>
    <w:rsid w:val="00A02FC6"/>
    <w:rsid w:val="00A02FFE"/>
    <w:rsid w:val="00A0673A"/>
    <w:rsid w:val="00A07300"/>
    <w:rsid w:val="00A10FFA"/>
    <w:rsid w:val="00A11E67"/>
    <w:rsid w:val="00A1351B"/>
    <w:rsid w:val="00A13FCB"/>
    <w:rsid w:val="00A142FC"/>
    <w:rsid w:val="00A147ED"/>
    <w:rsid w:val="00A1542D"/>
    <w:rsid w:val="00A15BA9"/>
    <w:rsid w:val="00A1611B"/>
    <w:rsid w:val="00A16AC4"/>
    <w:rsid w:val="00A175F6"/>
    <w:rsid w:val="00A22F07"/>
    <w:rsid w:val="00A2358A"/>
    <w:rsid w:val="00A24BA0"/>
    <w:rsid w:val="00A279B7"/>
    <w:rsid w:val="00A3046E"/>
    <w:rsid w:val="00A31FB9"/>
    <w:rsid w:val="00A32A6A"/>
    <w:rsid w:val="00A33006"/>
    <w:rsid w:val="00A331C3"/>
    <w:rsid w:val="00A3337C"/>
    <w:rsid w:val="00A33E2C"/>
    <w:rsid w:val="00A34165"/>
    <w:rsid w:val="00A37485"/>
    <w:rsid w:val="00A377BD"/>
    <w:rsid w:val="00A4112D"/>
    <w:rsid w:val="00A412E0"/>
    <w:rsid w:val="00A4166B"/>
    <w:rsid w:val="00A41B1E"/>
    <w:rsid w:val="00A4298C"/>
    <w:rsid w:val="00A42EA8"/>
    <w:rsid w:val="00A43A73"/>
    <w:rsid w:val="00A451C7"/>
    <w:rsid w:val="00A45A77"/>
    <w:rsid w:val="00A46971"/>
    <w:rsid w:val="00A508BF"/>
    <w:rsid w:val="00A53D0C"/>
    <w:rsid w:val="00A55CF1"/>
    <w:rsid w:val="00A575D2"/>
    <w:rsid w:val="00A578A3"/>
    <w:rsid w:val="00A62C5B"/>
    <w:rsid w:val="00A6329C"/>
    <w:rsid w:val="00A644A6"/>
    <w:rsid w:val="00A66BF4"/>
    <w:rsid w:val="00A66F1E"/>
    <w:rsid w:val="00A67DC4"/>
    <w:rsid w:val="00A70DDC"/>
    <w:rsid w:val="00A7285A"/>
    <w:rsid w:val="00A72925"/>
    <w:rsid w:val="00A7455C"/>
    <w:rsid w:val="00A7511D"/>
    <w:rsid w:val="00A75D79"/>
    <w:rsid w:val="00A75F32"/>
    <w:rsid w:val="00A767E4"/>
    <w:rsid w:val="00A76D29"/>
    <w:rsid w:val="00A77F18"/>
    <w:rsid w:val="00A804C2"/>
    <w:rsid w:val="00A80B15"/>
    <w:rsid w:val="00A80DBE"/>
    <w:rsid w:val="00A81400"/>
    <w:rsid w:val="00A814D7"/>
    <w:rsid w:val="00A81A90"/>
    <w:rsid w:val="00A82E33"/>
    <w:rsid w:val="00A844A3"/>
    <w:rsid w:val="00A904E4"/>
    <w:rsid w:val="00A90A43"/>
    <w:rsid w:val="00A91DF8"/>
    <w:rsid w:val="00A952DC"/>
    <w:rsid w:val="00A95687"/>
    <w:rsid w:val="00AA0671"/>
    <w:rsid w:val="00AA1205"/>
    <w:rsid w:val="00AA1450"/>
    <w:rsid w:val="00AA17CC"/>
    <w:rsid w:val="00AA2EFC"/>
    <w:rsid w:val="00AA3457"/>
    <w:rsid w:val="00AA350D"/>
    <w:rsid w:val="00AA73B5"/>
    <w:rsid w:val="00AB16B5"/>
    <w:rsid w:val="00AB18F7"/>
    <w:rsid w:val="00AB22C8"/>
    <w:rsid w:val="00AB3307"/>
    <w:rsid w:val="00AB4B0B"/>
    <w:rsid w:val="00AB4D67"/>
    <w:rsid w:val="00AB52C8"/>
    <w:rsid w:val="00AB6C2C"/>
    <w:rsid w:val="00AB703D"/>
    <w:rsid w:val="00AB769E"/>
    <w:rsid w:val="00AB7D5E"/>
    <w:rsid w:val="00AC0166"/>
    <w:rsid w:val="00AC0F69"/>
    <w:rsid w:val="00AC1781"/>
    <w:rsid w:val="00AC32DA"/>
    <w:rsid w:val="00AC7156"/>
    <w:rsid w:val="00AC7C9C"/>
    <w:rsid w:val="00AD1499"/>
    <w:rsid w:val="00AD1EA5"/>
    <w:rsid w:val="00AD2DD6"/>
    <w:rsid w:val="00AD3026"/>
    <w:rsid w:val="00AD3549"/>
    <w:rsid w:val="00AD7F19"/>
    <w:rsid w:val="00AE2ACA"/>
    <w:rsid w:val="00AE4FA0"/>
    <w:rsid w:val="00AE52E7"/>
    <w:rsid w:val="00AE5FB7"/>
    <w:rsid w:val="00AE6863"/>
    <w:rsid w:val="00AE71C0"/>
    <w:rsid w:val="00AE7479"/>
    <w:rsid w:val="00AF0A25"/>
    <w:rsid w:val="00AF11F0"/>
    <w:rsid w:val="00AF2A0E"/>
    <w:rsid w:val="00AF32EA"/>
    <w:rsid w:val="00AF3BA6"/>
    <w:rsid w:val="00AF53C3"/>
    <w:rsid w:val="00AF744F"/>
    <w:rsid w:val="00AF7BED"/>
    <w:rsid w:val="00B020D5"/>
    <w:rsid w:val="00B03561"/>
    <w:rsid w:val="00B03E1E"/>
    <w:rsid w:val="00B05F70"/>
    <w:rsid w:val="00B11A8A"/>
    <w:rsid w:val="00B1261F"/>
    <w:rsid w:val="00B133DE"/>
    <w:rsid w:val="00B13484"/>
    <w:rsid w:val="00B13529"/>
    <w:rsid w:val="00B13727"/>
    <w:rsid w:val="00B13A0C"/>
    <w:rsid w:val="00B14326"/>
    <w:rsid w:val="00B14F23"/>
    <w:rsid w:val="00B152B4"/>
    <w:rsid w:val="00B1606A"/>
    <w:rsid w:val="00B16BC2"/>
    <w:rsid w:val="00B20027"/>
    <w:rsid w:val="00B21419"/>
    <w:rsid w:val="00B21F40"/>
    <w:rsid w:val="00B220E6"/>
    <w:rsid w:val="00B2286E"/>
    <w:rsid w:val="00B25981"/>
    <w:rsid w:val="00B268AD"/>
    <w:rsid w:val="00B3176F"/>
    <w:rsid w:val="00B32DD2"/>
    <w:rsid w:val="00B341D8"/>
    <w:rsid w:val="00B3599B"/>
    <w:rsid w:val="00B3624F"/>
    <w:rsid w:val="00B36DE2"/>
    <w:rsid w:val="00B4029B"/>
    <w:rsid w:val="00B40671"/>
    <w:rsid w:val="00B41717"/>
    <w:rsid w:val="00B44F80"/>
    <w:rsid w:val="00B456A2"/>
    <w:rsid w:val="00B45C2B"/>
    <w:rsid w:val="00B46BFC"/>
    <w:rsid w:val="00B46C33"/>
    <w:rsid w:val="00B470B2"/>
    <w:rsid w:val="00B50074"/>
    <w:rsid w:val="00B532A4"/>
    <w:rsid w:val="00B535C1"/>
    <w:rsid w:val="00B5422B"/>
    <w:rsid w:val="00B54438"/>
    <w:rsid w:val="00B54B4F"/>
    <w:rsid w:val="00B54B88"/>
    <w:rsid w:val="00B55986"/>
    <w:rsid w:val="00B55C13"/>
    <w:rsid w:val="00B56640"/>
    <w:rsid w:val="00B56AE0"/>
    <w:rsid w:val="00B570DD"/>
    <w:rsid w:val="00B63335"/>
    <w:rsid w:val="00B63945"/>
    <w:rsid w:val="00B64D4F"/>
    <w:rsid w:val="00B6654F"/>
    <w:rsid w:val="00B67829"/>
    <w:rsid w:val="00B745FA"/>
    <w:rsid w:val="00B74D0A"/>
    <w:rsid w:val="00B75E53"/>
    <w:rsid w:val="00B76B0F"/>
    <w:rsid w:val="00B8146B"/>
    <w:rsid w:val="00B8206E"/>
    <w:rsid w:val="00B846C4"/>
    <w:rsid w:val="00B8494B"/>
    <w:rsid w:val="00B85A88"/>
    <w:rsid w:val="00B8615C"/>
    <w:rsid w:val="00B87662"/>
    <w:rsid w:val="00B906DC"/>
    <w:rsid w:val="00B91A36"/>
    <w:rsid w:val="00B92A41"/>
    <w:rsid w:val="00B958CB"/>
    <w:rsid w:val="00B95DED"/>
    <w:rsid w:val="00B965B9"/>
    <w:rsid w:val="00B96A34"/>
    <w:rsid w:val="00B96ABF"/>
    <w:rsid w:val="00B96FF8"/>
    <w:rsid w:val="00B97149"/>
    <w:rsid w:val="00B977BA"/>
    <w:rsid w:val="00BA0FFA"/>
    <w:rsid w:val="00BA4995"/>
    <w:rsid w:val="00BA6986"/>
    <w:rsid w:val="00BA7FBE"/>
    <w:rsid w:val="00BB06AD"/>
    <w:rsid w:val="00BB0BBB"/>
    <w:rsid w:val="00BB0C85"/>
    <w:rsid w:val="00BB280B"/>
    <w:rsid w:val="00BB287A"/>
    <w:rsid w:val="00BB5804"/>
    <w:rsid w:val="00BB70F4"/>
    <w:rsid w:val="00BB7277"/>
    <w:rsid w:val="00BB7A83"/>
    <w:rsid w:val="00BC0EAE"/>
    <w:rsid w:val="00BC0EDD"/>
    <w:rsid w:val="00BC14A4"/>
    <w:rsid w:val="00BC1CB6"/>
    <w:rsid w:val="00BC243E"/>
    <w:rsid w:val="00BC27D8"/>
    <w:rsid w:val="00BC39DA"/>
    <w:rsid w:val="00BC47A1"/>
    <w:rsid w:val="00BC4C29"/>
    <w:rsid w:val="00BC54E6"/>
    <w:rsid w:val="00BC5720"/>
    <w:rsid w:val="00BC753F"/>
    <w:rsid w:val="00BD003C"/>
    <w:rsid w:val="00BD2198"/>
    <w:rsid w:val="00BD27F2"/>
    <w:rsid w:val="00BD3EC1"/>
    <w:rsid w:val="00BD4164"/>
    <w:rsid w:val="00BD45FA"/>
    <w:rsid w:val="00BD5022"/>
    <w:rsid w:val="00BD651B"/>
    <w:rsid w:val="00BE1897"/>
    <w:rsid w:val="00BE1EB1"/>
    <w:rsid w:val="00BE58B5"/>
    <w:rsid w:val="00BE6C25"/>
    <w:rsid w:val="00BE7F49"/>
    <w:rsid w:val="00BF1A02"/>
    <w:rsid w:val="00BF1AEC"/>
    <w:rsid w:val="00BF3DE6"/>
    <w:rsid w:val="00BF598A"/>
    <w:rsid w:val="00BF7768"/>
    <w:rsid w:val="00BF7EEB"/>
    <w:rsid w:val="00C00CAD"/>
    <w:rsid w:val="00C01D49"/>
    <w:rsid w:val="00C02111"/>
    <w:rsid w:val="00C04868"/>
    <w:rsid w:val="00C0655A"/>
    <w:rsid w:val="00C07804"/>
    <w:rsid w:val="00C07A50"/>
    <w:rsid w:val="00C122EE"/>
    <w:rsid w:val="00C123F7"/>
    <w:rsid w:val="00C14A15"/>
    <w:rsid w:val="00C14A26"/>
    <w:rsid w:val="00C14C14"/>
    <w:rsid w:val="00C14D7D"/>
    <w:rsid w:val="00C17751"/>
    <w:rsid w:val="00C20B26"/>
    <w:rsid w:val="00C21319"/>
    <w:rsid w:val="00C217B4"/>
    <w:rsid w:val="00C24320"/>
    <w:rsid w:val="00C26C04"/>
    <w:rsid w:val="00C310A0"/>
    <w:rsid w:val="00C313E3"/>
    <w:rsid w:val="00C322DD"/>
    <w:rsid w:val="00C35398"/>
    <w:rsid w:val="00C364F6"/>
    <w:rsid w:val="00C37856"/>
    <w:rsid w:val="00C37B83"/>
    <w:rsid w:val="00C37BF3"/>
    <w:rsid w:val="00C40656"/>
    <w:rsid w:val="00C41CC2"/>
    <w:rsid w:val="00C42242"/>
    <w:rsid w:val="00C458C0"/>
    <w:rsid w:val="00C502C4"/>
    <w:rsid w:val="00C53075"/>
    <w:rsid w:val="00C53FDC"/>
    <w:rsid w:val="00C540CE"/>
    <w:rsid w:val="00C558B0"/>
    <w:rsid w:val="00C55900"/>
    <w:rsid w:val="00C56DE6"/>
    <w:rsid w:val="00C571E7"/>
    <w:rsid w:val="00C571FB"/>
    <w:rsid w:val="00C60054"/>
    <w:rsid w:val="00C619D2"/>
    <w:rsid w:val="00C61B45"/>
    <w:rsid w:val="00C61DD0"/>
    <w:rsid w:val="00C62ADD"/>
    <w:rsid w:val="00C64388"/>
    <w:rsid w:val="00C64DC0"/>
    <w:rsid w:val="00C655D1"/>
    <w:rsid w:val="00C7008B"/>
    <w:rsid w:val="00C701C5"/>
    <w:rsid w:val="00C704F3"/>
    <w:rsid w:val="00C70528"/>
    <w:rsid w:val="00C710F2"/>
    <w:rsid w:val="00C714D2"/>
    <w:rsid w:val="00C73CA3"/>
    <w:rsid w:val="00C744EE"/>
    <w:rsid w:val="00C7468D"/>
    <w:rsid w:val="00C74D7A"/>
    <w:rsid w:val="00C762FD"/>
    <w:rsid w:val="00C7698C"/>
    <w:rsid w:val="00C77011"/>
    <w:rsid w:val="00C808EF"/>
    <w:rsid w:val="00C814C1"/>
    <w:rsid w:val="00C81EF4"/>
    <w:rsid w:val="00C820FB"/>
    <w:rsid w:val="00C82137"/>
    <w:rsid w:val="00C827DA"/>
    <w:rsid w:val="00C828CD"/>
    <w:rsid w:val="00C82F85"/>
    <w:rsid w:val="00C87434"/>
    <w:rsid w:val="00C87633"/>
    <w:rsid w:val="00C92933"/>
    <w:rsid w:val="00C92A49"/>
    <w:rsid w:val="00C9354F"/>
    <w:rsid w:val="00C95BD1"/>
    <w:rsid w:val="00CA1BC7"/>
    <w:rsid w:val="00CA4889"/>
    <w:rsid w:val="00CA4C98"/>
    <w:rsid w:val="00CA5B58"/>
    <w:rsid w:val="00CA5E75"/>
    <w:rsid w:val="00CA6BF8"/>
    <w:rsid w:val="00CA6BF9"/>
    <w:rsid w:val="00CA7274"/>
    <w:rsid w:val="00CA756E"/>
    <w:rsid w:val="00CB1DC8"/>
    <w:rsid w:val="00CB2956"/>
    <w:rsid w:val="00CB2B54"/>
    <w:rsid w:val="00CB39EF"/>
    <w:rsid w:val="00CB6134"/>
    <w:rsid w:val="00CB61BC"/>
    <w:rsid w:val="00CC00B5"/>
    <w:rsid w:val="00CC228E"/>
    <w:rsid w:val="00CC3209"/>
    <w:rsid w:val="00CC40B0"/>
    <w:rsid w:val="00CC44C2"/>
    <w:rsid w:val="00CC56D2"/>
    <w:rsid w:val="00CC575A"/>
    <w:rsid w:val="00CC6105"/>
    <w:rsid w:val="00CC67C8"/>
    <w:rsid w:val="00CD1EF6"/>
    <w:rsid w:val="00CD27DB"/>
    <w:rsid w:val="00CD48CB"/>
    <w:rsid w:val="00CD529F"/>
    <w:rsid w:val="00CD58C5"/>
    <w:rsid w:val="00CE03DB"/>
    <w:rsid w:val="00CE14D6"/>
    <w:rsid w:val="00CE2A9B"/>
    <w:rsid w:val="00CE2AB3"/>
    <w:rsid w:val="00CE4946"/>
    <w:rsid w:val="00CE49B8"/>
    <w:rsid w:val="00CF2BC2"/>
    <w:rsid w:val="00CF3973"/>
    <w:rsid w:val="00CF5395"/>
    <w:rsid w:val="00CF53E0"/>
    <w:rsid w:val="00CF5815"/>
    <w:rsid w:val="00CF6944"/>
    <w:rsid w:val="00D0166C"/>
    <w:rsid w:val="00D03C2A"/>
    <w:rsid w:val="00D072C3"/>
    <w:rsid w:val="00D07779"/>
    <w:rsid w:val="00D1094F"/>
    <w:rsid w:val="00D10F9D"/>
    <w:rsid w:val="00D11E79"/>
    <w:rsid w:val="00D121DC"/>
    <w:rsid w:val="00D125C6"/>
    <w:rsid w:val="00D1335A"/>
    <w:rsid w:val="00D15103"/>
    <w:rsid w:val="00D16FC2"/>
    <w:rsid w:val="00D21CC8"/>
    <w:rsid w:val="00D22FDB"/>
    <w:rsid w:val="00D267C8"/>
    <w:rsid w:val="00D26DF5"/>
    <w:rsid w:val="00D278B7"/>
    <w:rsid w:val="00D31504"/>
    <w:rsid w:val="00D34872"/>
    <w:rsid w:val="00D35424"/>
    <w:rsid w:val="00D371A6"/>
    <w:rsid w:val="00D37D0B"/>
    <w:rsid w:val="00D37DF0"/>
    <w:rsid w:val="00D41C28"/>
    <w:rsid w:val="00D422BE"/>
    <w:rsid w:val="00D42CE1"/>
    <w:rsid w:val="00D430FF"/>
    <w:rsid w:val="00D4360B"/>
    <w:rsid w:val="00D468AA"/>
    <w:rsid w:val="00D471BB"/>
    <w:rsid w:val="00D518B2"/>
    <w:rsid w:val="00D52479"/>
    <w:rsid w:val="00D551D6"/>
    <w:rsid w:val="00D57D3F"/>
    <w:rsid w:val="00D608D3"/>
    <w:rsid w:val="00D6104F"/>
    <w:rsid w:val="00D61550"/>
    <w:rsid w:val="00D6291D"/>
    <w:rsid w:val="00D6323D"/>
    <w:rsid w:val="00D642DB"/>
    <w:rsid w:val="00D64AE0"/>
    <w:rsid w:val="00D6675C"/>
    <w:rsid w:val="00D674AB"/>
    <w:rsid w:val="00D67E7B"/>
    <w:rsid w:val="00D67EC6"/>
    <w:rsid w:val="00D712C8"/>
    <w:rsid w:val="00D7342A"/>
    <w:rsid w:val="00D74166"/>
    <w:rsid w:val="00D77818"/>
    <w:rsid w:val="00D80BC8"/>
    <w:rsid w:val="00D813B0"/>
    <w:rsid w:val="00D821B8"/>
    <w:rsid w:val="00D8415B"/>
    <w:rsid w:val="00D85582"/>
    <w:rsid w:val="00D8566C"/>
    <w:rsid w:val="00D86606"/>
    <w:rsid w:val="00D8669B"/>
    <w:rsid w:val="00D87970"/>
    <w:rsid w:val="00D919F1"/>
    <w:rsid w:val="00D91C42"/>
    <w:rsid w:val="00D92236"/>
    <w:rsid w:val="00D936D7"/>
    <w:rsid w:val="00D95093"/>
    <w:rsid w:val="00D96056"/>
    <w:rsid w:val="00D96A2A"/>
    <w:rsid w:val="00D97FDB"/>
    <w:rsid w:val="00DA00FA"/>
    <w:rsid w:val="00DA11BE"/>
    <w:rsid w:val="00DA17FF"/>
    <w:rsid w:val="00DA1D11"/>
    <w:rsid w:val="00DA1E33"/>
    <w:rsid w:val="00DA2550"/>
    <w:rsid w:val="00DA4D3F"/>
    <w:rsid w:val="00DA6A4E"/>
    <w:rsid w:val="00DA6F01"/>
    <w:rsid w:val="00DB08EC"/>
    <w:rsid w:val="00DB1F23"/>
    <w:rsid w:val="00DB2419"/>
    <w:rsid w:val="00DB27BD"/>
    <w:rsid w:val="00DB27DF"/>
    <w:rsid w:val="00DB2E19"/>
    <w:rsid w:val="00DB3810"/>
    <w:rsid w:val="00DB3C08"/>
    <w:rsid w:val="00DB4995"/>
    <w:rsid w:val="00DB4CCE"/>
    <w:rsid w:val="00DB57C4"/>
    <w:rsid w:val="00DB6257"/>
    <w:rsid w:val="00DC0DED"/>
    <w:rsid w:val="00DC242C"/>
    <w:rsid w:val="00DC4D1A"/>
    <w:rsid w:val="00DC4DEC"/>
    <w:rsid w:val="00DC50A8"/>
    <w:rsid w:val="00DC5569"/>
    <w:rsid w:val="00DC58BA"/>
    <w:rsid w:val="00DC6C11"/>
    <w:rsid w:val="00DD0CF0"/>
    <w:rsid w:val="00DD1EAE"/>
    <w:rsid w:val="00DD2C55"/>
    <w:rsid w:val="00DD335D"/>
    <w:rsid w:val="00DD3B98"/>
    <w:rsid w:val="00DD4085"/>
    <w:rsid w:val="00DE0CCA"/>
    <w:rsid w:val="00DE0F9C"/>
    <w:rsid w:val="00DE1461"/>
    <w:rsid w:val="00DE147E"/>
    <w:rsid w:val="00DE1A46"/>
    <w:rsid w:val="00DE1DF7"/>
    <w:rsid w:val="00DE1FC2"/>
    <w:rsid w:val="00DE3B77"/>
    <w:rsid w:val="00DE4A59"/>
    <w:rsid w:val="00DE631E"/>
    <w:rsid w:val="00DF0BE0"/>
    <w:rsid w:val="00DF1471"/>
    <w:rsid w:val="00DF2158"/>
    <w:rsid w:val="00DF2372"/>
    <w:rsid w:val="00DF273E"/>
    <w:rsid w:val="00DF2CD9"/>
    <w:rsid w:val="00DF4933"/>
    <w:rsid w:val="00DF4E40"/>
    <w:rsid w:val="00DF66CC"/>
    <w:rsid w:val="00E004EB"/>
    <w:rsid w:val="00E0090B"/>
    <w:rsid w:val="00E03729"/>
    <w:rsid w:val="00E04600"/>
    <w:rsid w:val="00E04621"/>
    <w:rsid w:val="00E04A17"/>
    <w:rsid w:val="00E0756E"/>
    <w:rsid w:val="00E1008E"/>
    <w:rsid w:val="00E112EF"/>
    <w:rsid w:val="00E11392"/>
    <w:rsid w:val="00E137C3"/>
    <w:rsid w:val="00E140C0"/>
    <w:rsid w:val="00E14F2F"/>
    <w:rsid w:val="00E15967"/>
    <w:rsid w:val="00E15B85"/>
    <w:rsid w:val="00E16C4D"/>
    <w:rsid w:val="00E219E5"/>
    <w:rsid w:val="00E21FB5"/>
    <w:rsid w:val="00E23D1B"/>
    <w:rsid w:val="00E24E81"/>
    <w:rsid w:val="00E27A05"/>
    <w:rsid w:val="00E27FFB"/>
    <w:rsid w:val="00E310B6"/>
    <w:rsid w:val="00E31FC3"/>
    <w:rsid w:val="00E324F6"/>
    <w:rsid w:val="00E33785"/>
    <w:rsid w:val="00E43E5C"/>
    <w:rsid w:val="00E44271"/>
    <w:rsid w:val="00E44E34"/>
    <w:rsid w:val="00E45482"/>
    <w:rsid w:val="00E4720A"/>
    <w:rsid w:val="00E472FD"/>
    <w:rsid w:val="00E47CE0"/>
    <w:rsid w:val="00E505F7"/>
    <w:rsid w:val="00E50B02"/>
    <w:rsid w:val="00E52A4A"/>
    <w:rsid w:val="00E53E0E"/>
    <w:rsid w:val="00E545C9"/>
    <w:rsid w:val="00E55165"/>
    <w:rsid w:val="00E55439"/>
    <w:rsid w:val="00E5684A"/>
    <w:rsid w:val="00E60F72"/>
    <w:rsid w:val="00E62ACD"/>
    <w:rsid w:val="00E66D2A"/>
    <w:rsid w:val="00E66FD3"/>
    <w:rsid w:val="00E702FE"/>
    <w:rsid w:val="00E715EF"/>
    <w:rsid w:val="00E71AEE"/>
    <w:rsid w:val="00E71D3D"/>
    <w:rsid w:val="00E721F4"/>
    <w:rsid w:val="00E724BA"/>
    <w:rsid w:val="00E752AC"/>
    <w:rsid w:val="00E759A6"/>
    <w:rsid w:val="00E765FF"/>
    <w:rsid w:val="00E80575"/>
    <w:rsid w:val="00E82249"/>
    <w:rsid w:val="00E840AD"/>
    <w:rsid w:val="00E84F33"/>
    <w:rsid w:val="00E84F73"/>
    <w:rsid w:val="00E9060C"/>
    <w:rsid w:val="00E923C1"/>
    <w:rsid w:val="00E92C3B"/>
    <w:rsid w:val="00E96E89"/>
    <w:rsid w:val="00EA00D1"/>
    <w:rsid w:val="00EA18BA"/>
    <w:rsid w:val="00EA197D"/>
    <w:rsid w:val="00EA3195"/>
    <w:rsid w:val="00EA4219"/>
    <w:rsid w:val="00EA4721"/>
    <w:rsid w:val="00EB00A3"/>
    <w:rsid w:val="00EB09AE"/>
    <w:rsid w:val="00EB22D3"/>
    <w:rsid w:val="00EB2975"/>
    <w:rsid w:val="00EB2AF5"/>
    <w:rsid w:val="00EB3232"/>
    <w:rsid w:val="00EB3569"/>
    <w:rsid w:val="00EB3FBD"/>
    <w:rsid w:val="00EB4672"/>
    <w:rsid w:val="00EB5F03"/>
    <w:rsid w:val="00EB6A23"/>
    <w:rsid w:val="00EB6D11"/>
    <w:rsid w:val="00EB7F89"/>
    <w:rsid w:val="00EC00B0"/>
    <w:rsid w:val="00EC26FD"/>
    <w:rsid w:val="00EC3711"/>
    <w:rsid w:val="00EC382A"/>
    <w:rsid w:val="00EC546B"/>
    <w:rsid w:val="00EC5F5E"/>
    <w:rsid w:val="00EC6724"/>
    <w:rsid w:val="00EC6888"/>
    <w:rsid w:val="00ED1E1E"/>
    <w:rsid w:val="00ED24F1"/>
    <w:rsid w:val="00ED268E"/>
    <w:rsid w:val="00ED3681"/>
    <w:rsid w:val="00ED6005"/>
    <w:rsid w:val="00ED6B68"/>
    <w:rsid w:val="00EE2CE8"/>
    <w:rsid w:val="00EE4172"/>
    <w:rsid w:val="00EE4396"/>
    <w:rsid w:val="00EE52C8"/>
    <w:rsid w:val="00EE5F01"/>
    <w:rsid w:val="00EE658F"/>
    <w:rsid w:val="00EF2577"/>
    <w:rsid w:val="00EF3C5C"/>
    <w:rsid w:val="00EF3E6A"/>
    <w:rsid w:val="00EF4877"/>
    <w:rsid w:val="00EF4940"/>
    <w:rsid w:val="00EF4B7D"/>
    <w:rsid w:val="00EF5A7E"/>
    <w:rsid w:val="00EF5CED"/>
    <w:rsid w:val="00EF71AD"/>
    <w:rsid w:val="00EF76EC"/>
    <w:rsid w:val="00F056C8"/>
    <w:rsid w:val="00F104CE"/>
    <w:rsid w:val="00F11731"/>
    <w:rsid w:val="00F11914"/>
    <w:rsid w:val="00F134E7"/>
    <w:rsid w:val="00F1376B"/>
    <w:rsid w:val="00F1398E"/>
    <w:rsid w:val="00F1471B"/>
    <w:rsid w:val="00F14C1E"/>
    <w:rsid w:val="00F16E07"/>
    <w:rsid w:val="00F17BA9"/>
    <w:rsid w:val="00F17E33"/>
    <w:rsid w:val="00F20482"/>
    <w:rsid w:val="00F20984"/>
    <w:rsid w:val="00F21277"/>
    <w:rsid w:val="00F21FC7"/>
    <w:rsid w:val="00F22EBB"/>
    <w:rsid w:val="00F24369"/>
    <w:rsid w:val="00F33485"/>
    <w:rsid w:val="00F3527C"/>
    <w:rsid w:val="00F35438"/>
    <w:rsid w:val="00F36729"/>
    <w:rsid w:val="00F3771C"/>
    <w:rsid w:val="00F4282C"/>
    <w:rsid w:val="00F4339F"/>
    <w:rsid w:val="00F43C83"/>
    <w:rsid w:val="00F466D8"/>
    <w:rsid w:val="00F46A9C"/>
    <w:rsid w:val="00F4763A"/>
    <w:rsid w:val="00F5040B"/>
    <w:rsid w:val="00F55884"/>
    <w:rsid w:val="00F55A44"/>
    <w:rsid w:val="00F55AC7"/>
    <w:rsid w:val="00F56B1F"/>
    <w:rsid w:val="00F57D87"/>
    <w:rsid w:val="00F60D2C"/>
    <w:rsid w:val="00F62332"/>
    <w:rsid w:val="00F62D35"/>
    <w:rsid w:val="00F63950"/>
    <w:rsid w:val="00F6409B"/>
    <w:rsid w:val="00F650F7"/>
    <w:rsid w:val="00F67F18"/>
    <w:rsid w:val="00F700DE"/>
    <w:rsid w:val="00F7281C"/>
    <w:rsid w:val="00F72E8A"/>
    <w:rsid w:val="00F73340"/>
    <w:rsid w:val="00F735FC"/>
    <w:rsid w:val="00F744FB"/>
    <w:rsid w:val="00F77195"/>
    <w:rsid w:val="00F80026"/>
    <w:rsid w:val="00F8032A"/>
    <w:rsid w:val="00F82EF6"/>
    <w:rsid w:val="00F87357"/>
    <w:rsid w:val="00F87A7B"/>
    <w:rsid w:val="00F87E8E"/>
    <w:rsid w:val="00F90671"/>
    <w:rsid w:val="00F909FD"/>
    <w:rsid w:val="00F9140D"/>
    <w:rsid w:val="00F95429"/>
    <w:rsid w:val="00F9554B"/>
    <w:rsid w:val="00F961DB"/>
    <w:rsid w:val="00F96ACA"/>
    <w:rsid w:val="00FA2400"/>
    <w:rsid w:val="00FA309B"/>
    <w:rsid w:val="00FA3769"/>
    <w:rsid w:val="00FA3AE9"/>
    <w:rsid w:val="00FA3E45"/>
    <w:rsid w:val="00FA4F9E"/>
    <w:rsid w:val="00FA5F27"/>
    <w:rsid w:val="00FA6656"/>
    <w:rsid w:val="00FA7AD3"/>
    <w:rsid w:val="00FA7D51"/>
    <w:rsid w:val="00FA7E3D"/>
    <w:rsid w:val="00FB0DF8"/>
    <w:rsid w:val="00FB140E"/>
    <w:rsid w:val="00FB35FD"/>
    <w:rsid w:val="00FB43CF"/>
    <w:rsid w:val="00FB465B"/>
    <w:rsid w:val="00FB4A6D"/>
    <w:rsid w:val="00FB64F2"/>
    <w:rsid w:val="00FB72DD"/>
    <w:rsid w:val="00FC0F94"/>
    <w:rsid w:val="00FC1613"/>
    <w:rsid w:val="00FC271A"/>
    <w:rsid w:val="00FC3516"/>
    <w:rsid w:val="00FC4C40"/>
    <w:rsid w:val="00FC4D1F"/>
    <w:rsid w:val="00FC605C"/>
    <w:rsid w:val="00FC6347"/>
    <w:rsid w:val="00FD04CE"/>
    <w:rsid w:val="00FD0885"/>
    <w:rsid w:val="00FD1E25"/>
    <w:rsid w:val="00FD29F5"/>
    <w:rsid w:val="00FD4037"/>
    <w:rsid w:val="00FD6056"/>
    <w:rsid w:val="00FD7A74"/>
    <w:rsid w:val="00FD7DA5"/>
    <w:rsid w:val="00FE0497"/>
    <w:rsid w:val="00FE1762"/>
    <w:rsid w:val="00FE2EC9"/>
    <w:rsid w:val="00FE38D5"/>
    <w:rsid w:val="00FE5059"/>
    <w:rsid w:val="00FE5DF1"/>
    <w:rsid w:val="00FE62F4"/>
    <w:rsid w:val="00FE7FB5"/>
    <w:rsid w:val="00FF1608"/>
    <w:rsid w:val="00FF207D"/>
    <w:rsid w:val="00FF3CA0"/>
    <w:rsid w:val="0BD51FF4"/>
    <w:rsid w:val="0CD162BD"/>
    <w:rsid w:val="10597981"/>
    <w:rsid w:val="128D43FF"/>
    <w:rsid w:val="15AE0CA8"/>
    <w:rsid w:val="1B3804C2"/>
    <w:rsid w:val="2226547D"/>
    <w:rsid w:val="22C16F92"/>
    <w:rsid w:val="29476BCC"/>
    <w:rsid w:val="2992085E"/>
    <w:rsid w:val="2AA75FB2"/>
    <w:rsid w:val="2B9A6EEC"/>
    <w:rsid w:val="2E53788E"/>
    <w:rsid w:val="2F2346E4"/>
    <w:rsid w:val="32551F9F"/>
    <w:rsid w:val="35E07E10"/>
    <w:rsid w:val="381E081F"/>
    <w:rsid w:val="38DC2F8E"/>
    <w:rsid w:val="3AFA2251"/>
    <w:rsid w:val="3D0C625E"/>
    <w:rsid w:val="45F928B5"/>
    <w:rsid w:val="46A1726F"/>
    <w:rsid w:val="4ACC6256"/>
    <w:rsid w:val="4BCA37D2"/>
    <w:rsid w:val="52860A2C"/>
    <w:rsid w:val="5B767FBE"/>
    <w:rsid w:val="5BF01B65"/>
    <w:rsid w:val="5E344EC6"/>
    <w:rsid w:val="5FB2784A"/>
    <w:rsid w:val="5FBA7D03"/>
    <w:rsid w:val="60430AA3"/>
    <w:rsid w:val="60BB458C"/>
    <w:rsid w:val="636444E0"/>
    <w:rsid w:val="68C9640B"/>
    <w:rsid w:val="6D465290"/>
    <w:rsid w:val="700C2A83"/>
    <w:rsid w:val="71841EB9"/>
    <w:rsid w:val="75550D0E"/>
    <w:rsid w:val="76DA19EF"/>
    <w:rsid w:val="7A3F3BE2"/>
    <w:rsid w:val="7AF5412C"/>
    <w:rsid w:val="7DD55415"/>
    <w:rsid w:val="7DFC0153"/>
    <w:rsid w:val="7F30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sdException w:uiPriority="0" w:name="Body Text Indent 3" w:locked="1"/>
    <w:lsdException w:uiPriority="0" w:name="Block Text" w:locked="1"/>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0"/>
    <w:pPr>
      <w:adjustRightInd w:val="0"/>
      <w:snapToGrid w:val="0"/>
      <w:spacing w:before="100" w:beforeAutospacing="1" w:after="100" w:afterAutospacing="1"/>
      <w:jc w:val="center"/>
      <w:outlineLvl w:val="0"/>
    </w:pPr>
    <w:rPr>
      <w:rFonts w:ascii="华文细黑" w:hAnsi="华文细黑" w:eastAsia="华文细黑"/>
      <w:b/>
      <w:bCs/>
      <w:kern w:val="44"/>
      <w:sz w:val="28"/>
      <w:szCs w:val="28"/>
    </w:rPr>
  </w:style>
  <w:style w:type="paragraph" w:styleId="3">
    <w:name w:val="heading 2"/>
    <w:basedOn w:val="1"/>
    <w:next w:val="1"/>
    <w:link w:val="24"/>
    <w:autoRedefine/>
    <w:qFormat/>
    <w:uiPriority w:val="0"/>
    <w:pPr>
      <w:keepNext/>
      <w:keepLines/>
      <w:adjustRightInd w:val="0"/>
      <w:snapToGrid w:val="0"/>
      <w:spacing w:beforeLines="50" w:afterLines="50"/>
      <w:ind w:firstLine="538" w:firstLineChars="192"/>
      <w:outlineLvl w:val="1"/>
    </w:pPr>
    <w:rPr>
      <w:rFonts w:ascii="Cambria" w:hAnsi="Cambria"/>
      <w:b/>
      <w:bCs/>
      <w:sz w:val="32"/>
      <w:szCs w:val="32"/>
    </w:rPr>
  </w:style>
  <w:style w:type="paragraph" w:styleId="4">
    <w:name w:val="heading 3"/>
    <w:basedOn w:val="1"/>
    <w:next w:val="1"/>
    <w:link w:val="29"/>
    <w:autoRedefine/>
    <w:qFormat/>
    <w:locked/>
    <w:uiPriority w:val="0"/>
    <w:pPr>
      <w:keepNext/>
      <w:keepLines/>
      <w:spacing w:before="260" w:after="260" w:line="416" w:lineRule="auto"/>
      <w:outlineLvl w:val="2"/>
    </w:pPr>
    <w:rPr>
      <w:b/>
      <w:bCs/>
      <w:kern w:val="0"/>
      <w:sz w:val="32"/>
      <w:szCs w:val="32"/>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semiHidden/>
    <w:qFormat/>
    <w:uiPriority w:val="0"/>
    <w:pPr>
      <w:jc w:val="left"/>
    </w:pPr>
    <w:rPr>
      <w:sz w:val="24"/>
      <w:szCs w:val="24"/>
    </w:rPr>
  </w:style>
  <w:style w:type="paragraph" w:styleId="6">
    <w:name w:val="Body Text Indent"/>
    <w:basedOn w:val="1"/>
    <w:link w:val="30"/>
    <w:autoRedefine/>
    <w:qFormat/>
    <w:uiPriority w:val="0"/>
    <w:pPr>
      <w:spacing w:line="360" w:lineRule="auto"/>
      <w:ind w:firstLine="636" w:firstLineChars="227"/>
    </w:pPr>
    <w:rPr>
      <w:sz w:val="24"/>
      <w:szCs w:val="24"/>
    </w:rPr>
  </w:style>
  <w:style w:type="paragraph" w:styleId="7">
    <w:name w:val="Plain Text"/>
    <w:basedOn w:val="1"/>
    <w:link w:val="25"/>
    <w:autoRedefine/>
    <w:qFormat/>
    <w:uiPriority w:val="0"/>
    <w:rPr>
      <w:rFonts w:ascii="宋体" w:hAnsi="Courier New"/>
    </w:rPr>
  </w:style>
  <w:style w:type="paragraph" w:styleId="8">
    <w:name w:val="Date"/>
    <w:basedOn w:val="1"/>
    <w:next w:val="1"/>
    <w:link w:val="28"/>
    <w:autoRedefine/>
    <w:qFormat/>
    <w:uiPriority w:val="0"/>
    <w:pPr>
      <w:ind w:left="100" w:leftChars="2500"/>
    </w:pPr>
    <w:rPr>
      <w:sz w:val="24"/>
      <w:szCs w:val="24"/>
    </w:rPr>
  </w:style>
  <w:style w:type="paragraph" w:styleId="9">
    <w:name w:val="Body Text Indent 2"/>
    <w:basedOn w:val="1"/>
    <w:link w:val="31"/>
    <w:autoRedefine/>
    <w:qFormat/>
    <w:uiPriority w:val="0"/>
    <w:pPr>
      <w:spacing w:after="120" w:line="480" w:lineRule="auto"/>
      <w:ind w:left="420" w:leftChars="200"/>
    </w:pPr>
    <w:rPr>
      <w:sz w:val="24"/>
      <w:szCs w:val="24"/>
    </w:rPr>
  </w:style>
  <w:style w:type="paragraph" w:styleId="10">
    <w:name w:val="Balloon Text"/>
    <w:basedOn w:val="1"/>
    <w:link w:val="23"/>
    <w:autoRedefine/>
    <w:semiHidden/>
    <w:qFormat/>
    <w:uiPriority w:val="0"/>
    <w:rPr>
      <w:sz w:val="2"/>
      <w:szCs w:val="2"/>
    </w:r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qFormat/>
    <w:uiPriority w:val="0"/>
    <w:pPr>
      <w:tabs>
        <w:tab w:val="right" w:leader="dot" w:pos="9530"/>
      </w:tabs>
      <w:spacing w:line="720" w:lineRule="auto"/>
    </w:pPr>
  </w:style>
  <w:style w:type="paragraph" w:styleId="14">
    <w:name w:val="Normal (Web)"/>
    <w:basedOn w:val="1"/>
    <w:autoRedefine/>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5">
    <w:name w:val="annotation subject"/>
    <w:basedOn w:val="5"/>
    <w:next w:val="5"/>
    <w:link w:val="35"/>
    <w:autoRedefine/>
    <w:semiHidden/>
    <w:qFormat/>
    <w:uiPriority w:val="0"/>
    <w:rPr>
      <w:b/>
      <w:bCs/>
      <w:sz w:val="21"/>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rPr>
      <w:rFonts w:cs="Times New Roman"/>
    </w:rPr>
  </w:style>
  <w:style w:type="character" w:styleId="20">
    <w:name w:val="FollowedHyperlink"/>
    <w:autoRedefine/>
    <w:qFormat/>
    <w:uiPriority w:val="0"/>
    <w:rPr>
      <w:rFonts w:cs="Times New Roman"/>
      <w:color w:val="800080"/>
      <w:u w:val="single"/>
    </w:rPr>
  </w:style>
  <w:style w:type="character" w:styleId="21">
    <w:name w:val="Hyperlink"/>
    <w:autoRedefine/>
    <w:qFormat/>
    <w:uiPriority w:val="0"/>
    <w:rPr>
      <w:rFonts w:cs="Times New Roman"/>
      <w:color w:val="0000FF"/>
      <w:u w:val="single"/>
    </w:rPr>
  </w:style>
  <w:style w:type="character" w:styleId="22">
    <w:name w:val="annotation reference"/>
    <w:autoRedefine/>
    <w:semiHidden/>
    <w:qFormat/>
    <w:uiPriority w:val="0"/>
    <w:rPr>
      <w:rFonts w:cs="Times New Roman"/>
      <w:sz w:val="21"/>
      <w:szCs w:val="21"/>
    </w:rPr>
  </w:style>
  <w:style w:type="character" w:customStyle="1" w:styleId="23">
    <w:name w:val="批注框文本 Char"/>
    <w:link w:val="10"/>
    <w:autoRedefine/>
    <w:semiHidden/>
    <w:qFormat/>
    <w:locked/>
    <w:uiPriority w:val="0"/>
    <w:rPr>
      <w:rFonts w:cs="Times New Roman"/>
      <w:kern w:val="2"/>
      <w:sz w:val="2"/>
      <w:szCs w:val="2"/>
    </w:rPr>
  </w:style>
  <w:style w:type="character" w:customStyle="1" w:styleId="24">
    <w:name w:val="标题 2 Char"/>
    <w:link w:val="3"/>
    <w:autoRedefine/>
    <w:semiHidden/>
    <w:qFormat/>
    <w:locked/>
    <w:uiPriority w:val="0"/>
    <w:rPr>
      <w:rFonts w:ascii="Cambria" w:hAnsi="Cambria" w:eastAsia="宋体" w:cs="Cambria"/>
      <w:b/>
      <w:bCs/>
      <w:kern w:val="2"/>
      <w:sz w:val="32"/>
      <w:szCs w:val="32"/>
    </w:rPr>
  </w:style>
  <w:style w:type="character" w:customStyle="1" w:styleId="25">
    <w:name w:val="纯文本 Char"/>
    <w:link w:val="7"/>
    <w:autoRedefine/>
    <w:semiHidden/>
    <w:qFormat/>
    <w:locked/>
    <w:uiPriority w:val="0"/>
    <w:rPr>
      <w:rFonts w:ascii="宋体" w:hAnsi="Courier New" w:cs="宋体"/>
      <w:kern w:val="2"/>
      <w:sz w:val="21"/>
      <w:szCs w:val="21"/>
    </w:rPr>
  </w:style>
  <w:style w:type="character" w:customStyle="1" w:styleId="26">
    <w:name w:val="批注文字 Char"/>
    <w:link w:val="5"/>
    <w:autoRedefine/>
    <w:semiHidden/>
    <w:qFormat/>
    <w:locked/>
    <w:uiPriority w:val="0"/>
    <w:rPr>
      <w:rFonts w:cs="Times New Roman"/>
      <w:kern w:val="2"/>
      <w:sz w:val="24"/>
      <w:szCs w:val="24"/>
    </w:rPr>
  </w:style>
  <w:style w:type="character" w:customStyle="1" w:styleId="27">
    <w:name w:val="页脚 Char"/>
    <w:link w:val="11"/>
    <w:autoRedefine/>
    <w:qFormat/>
    <w:locked/>
    <w:uiPriority w:val="0"/>
    <w:rPr>
      <w:rFonts w:cs="Times New Roman"/>
      <w:kern w:val="2"/>
      <w:sz w:val="18"/>
      <w:szCs w:val="18"/>
    </w:rPr>
  </w:style>
  <w:style w:type="character" w:customStyle="1" w:styleId="28">
    <w:name w:val="日期 Char"/>
    <w:link w:val="8"/>
    <w:autoRedefine/>
    <w:semiHidden/>
    <w:qFormat/>
    <w:locked/>
    <w:uiPriority w:val="0"/>
    <w:rPr>
      <w:rFonts w:cs="Times New Roman"/>
      <w:kern w:val="2"/>
      <w:sz w:val="24"/>
      <w:szCs w:val="24"/>
    </w:rPr>
  </w:style>
  <w:style w:type="character" w:customStyle="1" w:styleId="29">
    <w:name w:val="标题 3 Char"/>
    <w:link w:val="4"/>
    <w:autoRedefine/>
    <w:semiHidden/>
    <w:qFormat/>
    <w:locked/>
    <w:uiPriority w:val="0"/>
    <w:rPr>
      <w:rFonts w:cs="Times New Roman"/>
      <w:b/>
      <w:bCs/>
      <w:sz w:val="32"/>
      <w:szCs w:val="32"/>
    </w:rPr>
  </w:style>
  <w:style w:type="character" w:customStyle="1" w:styleId="30">
    <w:name w:val="正文文本缩进 Char"/>
    <w:link w:val="6"/>
    <w:autoRedefine/>
    <w:semiHidden/>
    <w:qFormat/>
    <w:locked/>
    <w:uiPriority w:val="0"/>
    <w:rPr>
      <w:rFonts w:cs="Times New Roman"/>
      <w:kern w:val="2"/>
      <w:sz w:val="24"/>
      <w:szCs w:val="24"/>
    </w:rPr>
  </w:style>
  <w:style w:type="character" w:customStyle="1" w:styleId="31">
    <w:name w:val="正文文本缩进 2 Char"/>
    <w:link w:val="9"/>
    <w:autoRedefine/>
    <w:qFormat/>
    <w:locked/>
    <w:uiPriority w:val="0"/>
    <w:rPr>
      <w:rFonts w:cs="Times New Roman"/>
      <w:kern w:val="2"/>
      <w:sz w:val="24"/>
      <w:szCs w:val="24"/>
    </w:rPr>
  </w:style>
  <w:style w:type="character" w:customStyle="1" w:styleId="32">
    <w:name w:val="标题 1 Char"/>
    <w:link w:val="2"/>
    <w:autoRedefine/>
    <w:qFormat/>
    <w:locked/>
    <w:uiPriority w:val="0"/>
    <w:rPr>
      <w:rFonts w:ascii="华文细黑" w:hAnsi="华文细黑" w:eastAsia="华文细黑" w:cs="华文细黑"/>
      <w:b/>
      <w:bCs/>
      <w:kern w:val="44"/>
      <w:sz w:val="28"/>
      <w:szCs w:val="28"/>
    </w:rPr>
  </w:style>
  <w:style w:type="character" w:customStyle="1" w:styleId="33">
    <w:name w:val="页眉 Char"/>
    <w:link w:val="12"/>
    <w:autoRedefine/>
    <w:semiHidden/>
    <w:qFormat/>
    <w:locked/>
    <w:uiPriority w:val="0"/>
    <w:rPr>
      <w:rFonts w:cs="Times New Roman"/>
      <w:kern w:val="2"/>
      <w:sz w:val="18"/>
      <w:szCs w:val="18"/>
    </w:rPr>
  </w:style>
  <w:style w:type="character" w:customStyle="1" w:styleId="34">
    <w:name w:val="p121"/>
    <w:autoRedefine/>
    <w:qFormat/>
    <w:uiPriority w:val="0"/>
    <w:rPr>
      <w:rFonts w:cs="Times New Roman"/>
      <w:sz w:val="24"/>
      <w:szCs w:val="24"/>
    </w:rPr>
  </w:style>
  <w:style w:type="character" w:customStyle="1" w:styleId="35">
    <w:name w:val="批注主题 Char"/>
    <w:link w:val="15"/>
    <w:autoRedefine/>
    <w:semiHidden/>
    <w:qFormat/>
    <w:locked/>
    <w:uiPriority w:val="0"/>
    <w:rPr>
      <w:rFonts w:cs="Times New Roman"/>
      <w:b/>
      <w:bCs/>
      <w:kern w:val="2"/>
      <w:sz w:val="21"/>
      <w:szCs w:val="21"/>
    </w:rPr>
  </w:style>
  <w:style w:type="paragraph" w:customStyle="1" w:styleId="36">
    <w:name w:val="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7">
    <w:name w:val="TOC 标题1"/>
    <w:basedOn w:val="2"/>
    <w:next w:val="1"/>
    <w:autoRedefine/>
    <w:qFormat/>
    <w:uiPriority w:val="0"/>
    <w:pPr>
      <w:keepNext/>
      <w:keepLines/>
      <w:widowControl/>
      <w:adjustRightInd/>
      <w:snapToGrid/>
      <w:spacing w:before="480" w:beforeAutospacing="0" w:after="0" w:afterAutospacing="0" w:line="276" w:lineRule="auto"/>
      <w:jc w:val="left"/>
      <w:outlineLvl w:val="9"/>
    </w:pPr>
    <w:rPr>
      <w:rFonts w:ascii="Cambria" w:hAnsi="Cambria" w:eastAsia="宋体" w:cs="Cambria"/>
      <w:color w:val="365F91"/>
      <w:kern w:val="0"/>
    </w:rPr>
  </w:style>
  <w:style w:type="paragraph" w:customStyle="1" w:styleId="38">
    <w:name w:val="列表段落1"/>
    <w:basedOn w:val="1"/>
    <w:autoRedefine/>
    <w:qFormat/>
    <w:uiPriority w:val="0"/>
    <w:pPr>
      <w:ind w:firstLine="420" w:firstLineChars="200"/>
    </w:pPr>
  </w:style>
  <w:style w:type="paragraph" w:customStyle="1" w:styleId="39">
    <w:name w:val="修订1"/>
    <w:autoRedefine/>
    <w:semiHidden/>
    <w:qFormat/>
    <w:uiPriority w:val="0"/>
    <w:rPr>
      <w:rFonts w:ascii="Times New Roman" w:hAnsi="Times New Roman" w:eastAsia="宋体" w:cs="Times New Roman"/>
      <w:kern w:val="2"/>
      <w:sz w:val="21"/>
      <w:szCs w:val="21"/>
      <w:lang w:val="en-US" w:eastAsia="zh-CN" w:bidi="ar-SA"/>
    </w:rPr>
  </w:style>
  <w:style w:type="paragraph" w:customStyle="1" w:styleId="40">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cs="Verdana"/>
      <w:kern w:val="0"/>
      <w:lang w:eastAsia="en-US"/>
    </w:rPr>
  </w:style>
  <w:style w:type="paragraph" w:customStyle="1" w:styleId="41">
    <w:name w:val="Char Char Char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styleId="42">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B978-4932-4401-AC21-50B60645A7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19007</Words>
  <Characters>19756</Characters>
  <Lines>154</Lines>
  <Paragraphs>43</Paragraphs>
  <TotalTime>1057</TotalTime>
  <ScaleCrop>false</ScaleCrop>
  <LinksUpToDate>false</LinksUpToDate>
  <CharactersWithSpaces>20401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2022-11-17T04:07:00Z</dcterms:created>
  <dc:creator>Administrator</dc:creator>
  <cp:lastModifiedBy>秦光圣</cp:lastModifiedBy>
  <cp:lastPrinted>2023-03-20T08:29:00Z</cp:lastPrinted>
  <dcterms:modified xsi:type="dcterms:W3CDTF">2024-05-06T01:24:47Z</dcterms:modified>
  <dc:title>第一部分     基本条款</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BE0361C3ED604DC6A698B6EB5FE2F596_12</vt:lpwstr>
  </property>
</Properties>
</file>