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4"/>
          <w:szCs w:val="32"/>
        </w:rPr>
      </w:pPr>
      <w:r>
        <w:rPr>
          <w:rFonts w:hint="eastAsia" w:ascii="仿宋_GB2312" w:hAnsi="宋体" w:eastAsia="仿宋_GB2312"/>
          <w:b/>
          <w:sz w:val="24"/>
          <w:szCs w:val="32"/>
        </w:rPr>
        <w:t>附件1：区位示意图</w:t>
      </w:r>
    </w:p>
    <w:p>
      <w:pPr>
        <w:jc w:val="center"/>
      </w:pPr>
      <w:r>
        <w:drawing>
          <wp:inline distT="0" distB="0" distL="0" distR="0">
            <wp:extent cx="3676015" cy="3530600"/>
            <wp:effectExtent l="1905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3676015" cy="3530600"/>
                    </a:xfrm>
                    <a:prstGeom prst="rect">
                      <a:avLst/>
                    </a:prstGeom>
                    <a:noFill/>
                    <a:ln w="9525">
                      <a:noFill/>
                      <a:miter lim="800000"/>
                      <a:headEnd/>
                      <a:tailEnd/>
                    </a:ln>
                  </pic:spPr>
                </pic:pic>
              </a:graphicData>
            </a:graphic>
          </wp:inline>
        </w:drawing>
      </w: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五缘</w:t>
      </w:r>
      <w:r>
        <w:rPr>
          <w:rFonts w:hint="eastAsia" w:ascii="方正小标宋简体" w:eastAsia="方正小标宋简体" w:hAnsiTheme="majorEastAsia"/>
          <w:sz w:val="36"/>
          <w:szCs w:val="36"/>
          <w:lang w:val="en-US" w:eastAsia="zh-CN"/>
        </w:rPr>
        <w:t>橖</w:t>
      </w:r>
      <w:r>
        <w:rPr>
          <w:rFonts w:hint="eastAsia" w:ascii="仿宋_GB2312" w:hAnsi="宋体" w:eastAsia="仿宋_GB2312"/>
          <w:b/>
          <w:bCs/>
          <w:sz w:val="24"/>
        </w:rPr>
        <w:t>月区位示意图</w:t>
      </w:r>
    </w:p>
    <w:p>
      <w:pPr>
        <w:spacing w:line="500" w:lineRule="exact"/>
        <w:jc w:val="center"/>
        <w:rPr>
          <w:rFonts w:ascii="仿宋_GB2312" w:hAnsi="宋体" w:eastAsia="仿宋_GB2312"/>
          <w:b/>
          <w:bCs/>
          <w:sz w:val="24"/>
        </w:rPr>
      </w:pPr>
      <w:r>
        <w:rPr>
          <w:rFonts w:ascii="仿宋_GB2312" w:hAnsi="宋体" w:eastAsia="仿宋_GB2312"/>
          <w:b/>
          <w:bCs/>
          <w:sz w:val="24"/>
        </w:rPr>
        <w:drawing>
          <wp:anchor distT="0" distB="0" distL="114300" distR="114300" simplePos="0" relativeHeight="251659264" behindDoc="0" locked="0" layoutInCell="1" allowOverlap="1">
            <wp:simplePos x="0" y="0"/>
            <wp:positionH relativeFrom="column">
              <wp:posOffset>1651635</wp:posOffset>
            </wp:positionH>
            <wp:positionV relativeFrom="paragraph">
              <wp:posOffset>100965</wp:posOffset>
            </wp:positionV>
            <wp:extent cx="2929890" cy="3901440"/>
            <wp:effectExtent l="19050" t="0" r="381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5"/>
                    <a:srcRect/>
                    <a:stretch>
                      <a:fillRect/>
                    </a:stretch>
                  </pic:blipFill>
                  <pic:spPr>
                    <a:xfrm>
                      <a:off x="0" y="0"/>
                      <a:ext cx="2929890" cy="3901440"/>
                    </a:xfrm>
                    <a:prstGeom prst="rect">
                      <a:avLst/>
                    </a:prstGeom>
                    <a:noFill/>
                    <a:ln w="9525">
                      <a:noFill/>
                      <a:miter lim="800000"/>
                      <a:headEnd/>
                      <a:tailEnd/>
                    </a:ln>
                  </pic:spPr>
                </pic:pic>
              </a:graphicData>
            </a:graphic>
          </wp:anchor>
        </w:drawing>
      </w: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ind w:firstLine="1687" w:firstLineChars="700"/>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五缘</w:t>
      </w:r>
      <w:r>
        <w:rPr>
          <w:rFonts w:hint="eastAsia" w:ascii="方正小标宋简体" w:eastAsia="方正小标宋简体" w:hAnsiTheme="majorEastAsia"/>
          <w:sz w:val="36"/>
          <w:szCs w:val="36"/>
          <w:lang w:val="en-US" w:eastAsia="zh-CN"/>
        </w:rPr>
        <w:t>橖</w:t>
      </w:r>
      <w:bookmarkStart w:id="0" w:name="_GoBack"/>
      <w:bookmarkEnd w:id="0"/>
      <w:r>
        <w:rPr>
          <w:rFonts w:hint="eastAsia" w:ascii="仿宋_GB2312" w:hAnsi="宋体" w:eastAsia="仿宋_GB2312"/>
          <w:b/>
          <w:bCs/>
          <w:sz w:val="24"/>
        </w:rPr>
        <w:t>月生超便利店平面示意图</w:t>
      </w:r>
    </w:p>
    <w:p>
      <w:pPr>
        <w:spacing w:line="500" w:lineRule="exact"/>
        <w:rPr>
          <w:rFonts w:ascii="仿宋_GB2312" w:hAnsi="宋体" w:eastAsia="仿宋_GB2312"/>
          <w:b/>
          <w:bCs/>
          <w:sz w:val="24"/>
        </w:rPr>
      </w:pPr>
      <w:r>
        <w:rPr>
          <w:rFonts w:hint="eastAsia" w:ascii="仿宋_GB2312" w:hAnsi="宋体" w:eastAsia="仿宋_GB2312"/>
          <w:b/>
          <w:bCs/>
          <w:sz w:val="24"/>
        </w:rPr>
        <w:t>附件2.房屋租赁合同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4"/>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rPr>
          <w:rFonts w:ascii="华文细黑" w:hAnsi="华文细黑" w:eastAsia="华文细黑" w:cs="Times New Roman"/>
          <w:sz w:val="24"/>
          <w:szCs w:val="24"/>
        </w:rPr>
      </w:pP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p>
      <w:pPr>
        <w:spacing w:line="500" w:lineRule="exact"/>
      </w:pPr>
    </w:p>
    <w:sectPr>
      <w:pgSz w:w="11906" w:h="16838"/>
      <w:pgMar w:top="1440" w:right="1800"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99181e0c-aeb9-456e-81e8-f247bf2f0754"/>
  </w:docVars>
  <w:rsids>
    <w:rsidRoot w:val="00724177"/>
    <w:rsid w:val="00034A22"/>
    <w:rsid w:val="00121746"/>
    <w:rsid w:val="0013002F"/>
    <w:rsid w:val="00161692"/>
    <w:rsid w:val="002A7FC4"/>
    <w:rsid w:val="003F05B6"/>
    <w:rsid w:val="004A196A"/>
    <w:rsid w:val="0055158B"/>
    <w:rsid w:val="0058542C"/>
    <w:rsid w:val="00596703"/>
    <w:rsid w:val="006C27D0"/>
    <w:rsid w:val="006F3AE3"/>
    <w:rsid w:val="00715451"/>
    <w:rsid w:val="00724177"/>
    <w:rsid w:val="00AC2CE5"/>
    <w:rsid w:val="00AD5950"/>
    <w:rsid w:val="00B26AB1"/>
    <w:rsid w:val="00BB4028"/>
    <w:rsid w:val="00C3507E"/>
    <w:rsid w:val="00C714D3"/>
    <w:rsid w:val="00CF7E27"/>
    <w:rsid w:val="00DE2817"/>
    <w:rsid w:val="18963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7"/>
    <w:semiHidden/>
    <w:unhideWhenUsed/>
    <w:qFormat/>
    <w:uiPriority w:val="99"/>
    <w:rPr>
      <w:sz w:val="18"/>
      <w:szCs w:val="18"/>
    </w:rPr>
  </w:style>
  <w:style w:type="character" w:customStyle="1" w:styleId="6">
    <w:name w:val="批注文字 Char"/>
    <w:basedOn w:val="5"/>
    <w:link w:val="2"/>
    <w:qFormat/>
    <w:uiPriority w:val="99"/>
    <w:rPr>
      <w:rFonts w:ascii="Calibri" w:hAnsi="Calibri"/>
    </w:rPr>
  </w:style>
  <w:style w:type="character" w:customStyle="1" w:styleId="7">
    <w:name w:val="批注框文本 Char"/>
    <w:basedOn w:val="5"/>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1889</Words>
  <Characters>10772</Characters>
  <Lines>89</Lines>
  <Paragraphs>25</Paragraphs>
  <TotalTime>0</TotalTime>
  <ScaleCrop>false</ScaleCrop>
  <LinksUpToDate>false</LinksUpToDate>
  <CharactersWithSpaces>12636</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2023-09-22T01:35:00Z</dcterms:created>
  <dc:creator>俞敏俐(9月21日)</dc:creator>
  <cp:lastModifiedBy>俞敏俐</cp:lastModifiedBy>
  <dcterms:modified xsi:type="dcterms:W3CDTF">2024-05-23T03:43:58Z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5C4758FDEF2A4ED48C4EC46D0399B299_12</vt:lpwstr>
  </property>
</Properties>
</file>