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jc w:val="center"/>
      </w:pPr>
      <w:r>
        <w:drawing>
          <wp:inline distT="0" distB="0" distL="114300" distR="114300">
            <wp:extent cx="5477510" cy="4973955"/>
            <wp:effectExtent l="0" t="0" r="889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77510" cy="4973955"/>
                    </a:xfrm>
                    <a:prstGeom prst="rect">
                      <a:avLst/>
                    </a:prstGeom>
                    <a:noFill/>
                    <a:ln>
                      <a:noFill/>
                    </a:ln>
                  </pic:spPr>
                </pic:pic>
              </a:graphicData>
            </a:graphic>
          </wp:inline>
        </w:drawing>
      </w: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建发文澜春晓</w:t>
      </w:r>
      <w:r>
        <w:rPr>
          <w:rFonts w:hint="eastAsia" w:ascii="仿宋_GB2312" w:hAnsi="宋体" w:eastAsia="仿宋_GB2312"/>
          <w:b/>
          <w:bCs/>
          <w:sz w:val="24"/>
        </w:rPr>
        <w:t>区位示意图</w:t>
      </w:r>
    </w:p>
    <w:p>
      <w:pPr>
        <w:spacing w:line="500" w:lineRule="exact"/>
        <w:jc w:val="center"/>
        <w:rPr>
          <w:rFonts w:hint="eastAsia" w:ascii="仿宋_GB2312" w:hAnsi="宋体" w:eastAsia="仿宋_GB2312"/>
          <w:b/>
          <w:bCs/>
          <w:sz w:val="24"/>
        </w:rPr>
        <w:sectPr>
          <w:pgSz w:w="11906" w:h="16838"/>
          <w:pgMar w:top="1440" w:right="1800" w:bottom="1440" w:left="1800" w:header="851" w:footer="992" w:gutter="0"/>
          <w:cols w:space="720" w:num="1"/>
          <w:docGrid w:type="lines" w:linePitch="312" w:charSpace="0"/>
        </w:sectPr>
      </w:pPr>
    </w:p>
    <w:p>
      <w:pPr>
        <w:spacing w:line="500" w:lineRule="exact"/>
        <w:jc w:val="both"/>
      </w:pPr>
      <w:r>
        <w:drawing>
          <wp:anchor distT="0" distB="0" distL="114300" distR="114300" simplePos="0" relativeHeight="251659264" behindDoc="0" locked="0" layoutInCell="1" allowOverlap="1">
            <wp:simplePos x="0" y="0"/>
            <wp:positionH relativeFrom="column">
              <wp:posOffset>-97155</wp:posOffset>
            </wp:positionH>
            <wp:positionV relativeFrom="paragraph">
              <wp:posOffset>144145</wp:posOffset>
            </wp:positionV>
            <wp:extent cx="8855075" cy="3933190"/>
            <wp:effectExtent l="0" t="0" r="3175" b="1016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8855075" cy="3933190"/>
                    </a:xfrm>
                    <a:prstGeom prst="rect">
                      <a:avLst/>
                    </a:prstGeom>
                    <a:noFill/>
                    <a:ln>
                      <a:noFill/>
                    </a:ln>
                  </pic:spPr>
                </pic:pic>
              </a:graphicData>
            </a:graphic>
          </wp:anchor>
        </w:drawing>
      </w:r>
    </w:p>
    <w:p>
      <w:pPr>
        <w:spacing w:line="500" w:lineRule="exact"/>
        <w:jc w:val="center"/>
      </w:pPr>
    </w:p>
    <w:p>
      <w:pPr>
        <w:spacing w:line="500" w:lineRule="exact"/>
        <w:jc w:val="center"/>
      </w:pPr>
    </w:p>
    <w:p>
      <w:pPr>
        <w:spacing w:line="500" w:lineRule="exact"/>
        <w:jc w:val="center"/>
      </w:pPr>
    </w:p>
    <w:p>
      <w:pPr>
        <w:spacing w:line="500" w:lineRule="exact"/>
        <w:jc w:val="center"/>
      </w:pPr>
      <w:r>
        <w:rPr>
          <w:sz w:val="21"/>
        </w:rPr>
        <w:pict>
          <v:shape id="_x0000_s1026" o:spid="_x0000_s1026" style="position:absolute;left:0pt;margin-left:46.35pt;margin-top:16.4pt;height:190.5pt;width:317.25pt;z-index:251660288;mso-width-relative:page;mso-height-relative:page;" fillcolor="#FFFFFF" filled="t" stroked="t" coordsize="6345,3810" path="m270,240hal270,1500hal0,1485hal0,1800hal1125,1785hal1050,3780hal5250,3810hal5265,1770hal6345,1785hal6300,1485hal6045,1515hal6015,300hal4335,330hal4335,75hal3630,75hal3690,1800hal3540,1800hal3510,2685hal2715,2685hal2715,1740hal2640,1740hal2640,0hal1920,30hal1995,330hal270,240haxe">
            <v:path/>
            <v:fill on="t" color2="#FFFFFF" focussize="0,0"/>
            <v:stroke weight="3pt" color="#FF0000"/>
            <v:imagedata o:title=""/>
            <o:lock v:ext="edit" aspectratio="f"/>
          </v:shape>
        </w:pict>
      </w: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r>
        <w:rPr>
          <w:sz w:val="21"/>
        </w:rPr>
        <w:pict>
          <v:shape id="_x0000_s1027" o:spid="_x0000_s1027" o:spt="202" type="#_x0000_t202" style="position:absolute;left:0pt;margin-left:156.6pt;margin-top:5.15pt;height:37.5pt;width:72.75pt;z-index:251661312;mso-width-relative:page;mso-height-relative:page;" fillcolor="#FFFFFF" filled="t" stroked="f" coordsize="21600,21600">
            <v:path/>
            <v:fill on="t" color2="#FFFFFF" focussize="0,0"/>
            <v:stroke on="f"/>
            <v:imagedata o:title=""/>
            <o:lock v:ext="edit" aspectratio="f"/>
            <v:textbox>
              <w:txbxContent>
                <w:p>
                  <w:pPr>
                    <w:rPr>
                      <w:rFonts w:hint="default" w:eastAsiaTheme="minorEastAsia"/>
                      <w:sz w:val="28"/>
                      <w:szCs w:val="28"/>
                      <w:lang w:val="en-US" w:eastAsia="zh-CN"/>
                    </w:rPr>
                  </w:pPr>
                  <w:r>
                    <w:rPr>
                      <w:rFonts w:hint="eastAsia"/>
                      <w:sz w:val="28"/>
                      <w:szCs w:val="28"/>
                      <w:lang w:val="en-US" w:eastAsia="zh-CN"/>
                    </w:rPr>
                    <w:t>80-108</w:t>
                  </w:r>
                </w:p>
              </w:txbxContent>
            </v:textbox>
          </v:shape>
        </w:pict>
      </w:r>
    </w:p>
    <w:p>
      <w:pPr>
        <w:spacing w:line="500" w:lineRule="exact"/>
        <w:jc w:val="cente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建发文澜春晓平面</w:t>
      </w:r>
      <w:r>
        <w:rPr>
          <w:rFonts w:hint="eastAsia" w:ascii="仿宋_GB2312" w:hAnsi="宋体" w:eastAsia="仿宋_GB2312"/>
          <w:b/>
          <w:bCs/>
          <w:sz w:val="24"/>
        </w:rPr>
        <w:t>示意图</w:t>
      </w:r>
    </w:p>
    <w:p>
      <w:pPr>
        <w:spacing w:line="500" w:lineRule="exact"/>
        <w:jc w:val="center"/>
        <w:rPr>
          <w:rFonts w:hint="eastAsia"/>
          <w:b/>
          <w:bCs/>
          <w:i w:val="0"/>
          <w:iCs w:val="0"/>
          <w:sz w:val="24"/>
          <w:szCs w:val="28"/>
          <w:lang w:val="en-US" w:eastAsia="zh-CN"/>
        </w:rPr>
      </w:pPr>
      <w:r>
        <w:rPr>
          <w:rFonts w:hint="eastAsia"/>
          <w:b/>
          <w:bCs/>
          <w:i w:val="0"/>
          <w:iCs w:val="0"/>
          <w:sz w:val="24"/>
          <w:szCs w:val="28"/>
          <w:lang w:val="en-US" w:eastAsia="zh-CN"/>
        </w:rPr>
        <w:t>从右往左分别为：海城一路80-107（物流终端站）、海城一路80-107-1（普通商业）、</w:t>
      </w:r>
    </w:p>
    <w:p>
      <w:pPr>
        <w:spacing w:line="500" w:lineRule="exact"/>
        <w:jc w:val="center"/>
        <w:rPr>
          <w:rFonts w:hint="default" w:eastAsiaTheme="minorEastAsia"/>
          <w:b/>
          <w:bCs/>
          <w:i w:val="0"/>
          <w:iCs w:val="0"/>
          <w:sz w:val="24"/>
          <w:szCs w:val="28"/>
          <w:lang w:val="en-US" w:eastAsia="zh-CN"/>
        </w:rPr>
      </w:pPr>
      <w:r>
        <w:rPr>
          <w:rFonts w:hint="eastAsia"/>
          <w:b/>
          <w:bCs/>
          <w:i w:val="0"/>
          <w:iCs w:val="0"/>
          <w:sz w:val="24"/>
          <w:szCs w:val="28"/>
          <w:lang w:val="en-US" w:eastAsia="zh-CN"/>
        </w:rPr>
        <w:t>海城一路80-108（普通商业）、海城一路80-109（普通商业）</w:t>
      </w:r>
    </w:p>
    <w:p>
      <w:pPr>
        <w:spacing w:line="500" w:lineRule="exact"/>
        <w:jc w:val="center"/>
        <w:rPr>
          <w:rFonts w:hint="eastAsia" w:ascii="仿宋_GB2312" w:hAnsi="宋体" w:eastAsia="仿宋_GB2312"/>
          <w:b/>
          <w:bCs/>
          <w:sz w:val="24"/>
        </w:rPr>
        <w:sectPr>
          <w:pgSz w:w="16838" w:h="11906" w:orient="landscape"/>
          <w:pgMar w:top="1800" w:right="1440" w:bottom="1800" w:left="1440" w:header="851" w:footer="992" w:gutter="0"/>
          <w:cols w:space="720" w:num="1"/>
          <w:docGrid w:type="lines" w:linePitch="312" w:charSpace="0"/>
        </w:sectPr>
      </w:pPr>
      <w:bookmarkStart w:id="0" w:name="_GoBack"/>
      <w:bookmarkEnd w:id="0"/>
    </w:p>
    <w:p>
      <w:pPr>
        <w:spacing w:line="500" w:lineRule="exact"/>
        <w:jc w:val="center"/>
        <w:rPr>
          <w:rFonts w:hint="eastAsia" w:ascii="仿宋_GB2312" w:hAnsi="宋体" w:eastAsia="仿宋_GB2312"/>
          <w:b/>
          <w:bCs/>
          <w:sz w:val="24"/>
        </w:rPr>
      </w:pPr>
    </w:p>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2</w:t>
      </w:r>
      <w:r>
        <w:rPr>
          <w:rFonts w:hint="eastAsia" w:ascii="仿宋_GB2312" w:hAnsi="宋体" w:eastAsia="仿宋_GB2312"/>
          <w:b/>
          <w:sz w:val="28"/>
          <w:szCs w:val="32"/>
        </w:rPr>
        <w:t>：租赁合同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u w:val="single"/>
          <w:lang w:val="en-US" w:eastAsia="zh-CN"/>
        </w:rPr>
        <w:t>乙方</w:t>
      </w:r>
      <w:r>
        <w:rPr>
          <w:rFonts w:hint="eastAsia" w:ascii="华文细黑" w:hAnsi="华文细黑" w:eastAsia="华文细黑"/>
          <w:sz w:val="24"/>
          <w:szCs w:val="24"/>
          <w:u w:val="single"/>
        </w:rPr>
        <w:t>向</w:t>
      </w:r>
      <w:r>
        <w:rPr>
          <w:rFonts w:hint="eastAsia" w:ascii="华文细黑" w:hAnsi="华文细黑" w:eastAsia="华文细黑"/>
          <w:sz w:val="24"/>
          <w:szCs w:val="24"/>
          <w:u w:val="single"/>
          <w:lang w:val="en-US" w:eastAsia="zh-CN"/>
        </w:rPr>
        <w:t>甲方</w:t>
      </w:r>
      <w:r>
        <w:rPr>
          <w:rFonts w:hint="eastAsia" w:ascii="华文细黑" w:hAnsi="华文细黑" w:eastAsia="华文细黑"/>
          <w:sz w:val="24"/>
          <w:szCs w:val="24"/>
          <w:u w:val="single"/>
        </w:rPr>
        <w:t>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7"/>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w:t>
      </w:r>
      <w:r>
        <w:rPr>
          <w:rFonts w:hint="eastAsia" w:ascii="华文细黑" w:hAnsi="华文细黑" w:eastAsia="华文细黑"/>
          <w:color w:val="000000"/>
          <w:sz w:val="24"/>
          <w:szCs w:val="24"/>
          <w:lang w:eastAsia="zh-CN"/>
        </w:rPr>
        <w:t>甲方</w:t>
      </w:r>
      <w:r>
        <w:rPr>
          <w:rFonts w:hint="eastAsia" w:ascii="华文细黑" w:hAnsi="华文细黑" w:eastAsia="华文细黑"/>
          <w:color w:val="000000"/>
          <w:sz w:val="24"/>
          <w:szCs w:val="24"/>
        </w:rPr>
        <w:t>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w:t>
      </w:r>
      <w:r>
        <w:rPr>
          <w:rFonts w:hint="eastAsia" w:ascii="华文细黑" w:hAnsi="华文细黑" w:eastAsia="华文细黑"/>
          <w:sz w:val="24"/>
          <w:szCs w:val="24"/>
          <w:lang w:eastAsia="zh-CN"/>
        </w:rPr>
        <w:t>甲方</w:t>
      </w:r>
      <w:r>
        <w:rPr>
          <w:rFonts w:hint="eastAsia" w:ascii="华文细黑" w:hAnsi="华文细黑" w:eastAsia="华文细黑"/>
          <w:sz w:val="24"/>
          <w:szCs w:val="24"/>
        </w:rPr>
        <w:t>。双方合同关系自上述书面通知送达或应当送达后第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lang w:val="en-US" w:eastAsia="zh-CN"/>
        </w:rPr>
        <w:t>肆</w:t>
      </w:r>
      <w:r>
        <w:rPr>
          <w:rFonts w:hint="eastAsia" w:ascii="华文细黑" w:hAnsi="华文细黑" w:eastAsia="华文细黑"/>
          <w:sz w:val="24"/>
          <w:szCs w:val="24"/>
        </w:rPr>
        <w:t>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16"/>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w:t>
      </w:r>
      <w:r>
        <w:rPr>
          <w:rFonts w:hint="eastAsia" w:ascii="仿宋_GB2312" w:hAnsi="仿宋" w:eastAsia="仿宋_GB2312"/>
          <w:sz w:val="24"/>
          <w:lang w:val="en-US" w:eastAsia="zh-CN"/>
        </w:rPr>
        <w:t>肆</w:t>
      </w:r>
      <w:r>
        <w:rPr>
          <w:rFonts w:hint="eastAsia" w:ascii="仿宋_GB2312" w:hAnsi="仿宋" w:eastAsia="仿宋_GB2312"/>
          <w:sz w:val="24"/>
        </w:rPr>
        <w:t>份，</w:t>
      </w:r>
      <w:r>
        <w:rPr>
          <w:rFonts w:hint="eastAsia" w:ascii="仿宋_GB2312" w:hAnsi="仿宋" w:eastAsia="仿宋_GB2312"/>
          <w:sz w:val="24"/>
          <w:lang w:val="en-US" w:eastAsia="zh-CN"/>
        </w:rPr>
        <w:t>双方各</w:t>
      </w:r>
      <w:r>
        <w:rPr>
          <w:rFonts w:hint="eastAsia" w:ascii="仿宋_GB2312" w:hAnsi="仿宋" w:eastAsia="仿宋_GB2312"/>
          <w:sz w:val="24"/>
        </w:rPr>
        <w:t>执</w:t>
      </w:r>
      <w:r>
        <w:rPr>
          <w:rFonts w:hint="eastAsia" w:ascii="仿宋_GB2312" w:hAnsi="仿宋" w:eastAsia="仿宋_GB2312"/>
          <w:sz w:val="24"/>
          <w:lang w:val="en-US" w:eastAsia="zh-CN"/>
        </w:rPr>
        <w:t>贰</w:t>
      </w:r>
      <w:r>
        <w:rPr>
          <w:rFonts w:hint="eastAsia" w:ascii="仿宋_GB2312" w:hAnsi="仿宋" w:eastAsia="仿宋_GB2312"/>
          <w:sz w:val="24"/>
        </w:rPr>
        <w:t>份，各份均具有同等法律效力。</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（以下无正文）</w:t>
      </w:r>
    </w:p>
    <w:p>
      <w:pPr>
        <w:spacing w:line="360" w:lineRule="auto"/>
        <w:ind w:firstLine="482" w:firstLineChars="200"/>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spacing w:line="500" w:lineRule="exact"/>
        <w:rPr>
          <w:rFonts w:ascii="仿宋_GB2312" w:hAnsi="宋体" w:eastAsia="仿宋_GB2312" w:cs="Times New Roman"/>
          <w:b/>
          <w:bCs/>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a57b3677-2144-4ccc-8a32-c20cc51cdfce"/>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11F9"/>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01777F38"/>
    <w:rsid w:val="01B43016"/>
    <w:rsid w:val="1347763B"/>
    <w:rsid w:val="1ED52D0D"/>
    <w:rsid w:val="1F8452B0"/>
    <w:rsid w:val="22B21E26"/>
    <w:rsid w:val="2DF768E2"/>
    <w:rsid w:val="30CC0080"/>
    <w:rsid w:val="31062CB6"/>
    <w:rsid w:val="4168325C"/>
    <w:rsid w:val="4C0A4C0B"/>
    <w:rsid w:val="59E7033A"/>
    <w:rsid w:val="5C5F6B57"/>
    <w:rsid w:val="5E2F4233"/>
    <w:rsid w:val="612C2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5</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俞敏俐</cp:lastModifiedBy>
  <cp:lastPrinted>2023-07-24T03:00:00Z</cp:lastPrinted>
  <dcterms:modified xsi:type="dcterms:W3CDTF">2024-11-06T00:10:12Z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82F2076087104643BCAF7CC333BDED09_12</vt:lpwstr>
  </property>
</Properties>
</file>