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w:t>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lang w:eastAsia="zh-CN"/>
        </w:rPr>
      </w:pPr>
      <w:r>
        <w:rPr>
          <w:rFonts w:hint="eastAsia" w:ascii="宋体" w:hAnsi="宋体" w:eastAsia="宋体" w:cs="宋体"/>
          <w:sz w:val="44"/>
          <w:szCs w:val="44"/>
        </w:rPr>
        <w:t>招租</w:t>
      </w:r>
      <w:r>
        <w:rPr>
          <w:rFonts w:hint="eastAsia" w:ascii="宋体" w:hAnsi="宋体" w:eastAsia="宋体" w:cs="宋体"/>
          <w:sz w:val="44"/>
          <w:szCs w:val="44"/>
          <w:lang w:val="en-US" w:eastAsia="zh-CN"/>
        </w:rPr>
        <w:t>须知</w:t>
      </w:r>
    </w:p>
    <w:p>
      <w:pPr>
        <w:jc w:val="center"/>
        <w:rPr>
          <w:rFonts w:ascii="宋体" w:hAnsi="宋体" w:eastAsia="宋体" w:cs="宋体"/>
          <w:sz w:val="44"/>
          <w:szCs w:val="44"/>
        </w:rPr>
      </w:pPr>
    </w:p>
    <w:p>
      <w:pPr>
        <w:pStyle w:val="8"/>
        <w:numPr>
          <w:ilvl w:val="-1"/>
          <w:numId w:val="0"/>
        </w:numPr>
        <w:spacing w:line="240" w:lineRule="auto"/>
        <w:ind w:firstLine="0" w:firstLineChars="0"/>
        <w:jc w:val="left"/>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bCs/>
          <w:color w:val="000000" w:themeColor="text1"/>
          <w:sz w:val="32"/>
          <w:szCs w:val="32"/>
          <w:highlight w:val="none"/>
          <w14:textFill>
            <w14:solidFill>
              <w14:schemeClr w14:val="tx1"/>
            </w14:solidFill>
          </w14:textFill>
        </w:rPr>
        <w:t>招租项目概况</w:t>
      </w:r>
    </w:p>
    <w:p>
      <w:pPr>
        <w:pStyle w:val="8"/>
        <w:spacing w:line="360" w:lineRule="auto"/>
        <w:ind w:firstLine="480" w:firstLineChars="150"/>
        <w:jc w:val="left"/>
        <w:rPr>
          <w:rFonts w:ascii="仿宋" w:hAnsi="仿宋" w:eastAsia="仿宋" w:cs="仿宋"/>
          <w:sz w:val="32"/>
          <w:szCs w:val="32"/>
        </w:rPr>
      </w:pPr>
      <w:r>
        <w:rPr>
          <w:rFonts w:hint="eastAsia" w:ascii="仿宋" w:hAnsi="仿宋" w:eastAsia="仿宋" w:cs="仿宋"/>
          <w:sz w:val="32"/>
          <w:szCs w:val="32"/>
        </w:rPr>
        <w:t xml:space="preserve"> 站南大厦位于厦门市思明区站南路6号，产权人为厦门市政城市开发建设有限公司，现拟对该大厦10-16F楼层（单层建筑面积约1200平方米）分开公开招租，</w:t>
      </w:r>
      <w:r>
        <w:rPr>
          <w:rFonts w:hint="eastAsia" w:ascii="仿宋" w:hAnsi="仿宋" w:eastAsia="仿宋" w:cs="仿宋"/>
          <w:sz w:val="32"/>
          <w:szCs w:val="32"/>
          <w:lang w:val="en-US" w:eastAsia="zh-CN"/>
        </w:rPr>
        <w:t>标的1为厦门市思明区站南路6号</w:t>
      </w:r>
      <w:r>
        <w:rPr>
          <w:rFonts w:hint="eastAsia" w:ascii="仿宋" w:hAnsi="仿宋" w:eastAsia="仿宋" w:cs="仿宋"/>
          <w:sz w:val="32"/>
          <w:szCs w:val="32"/>
        </w:rPr>
        <w:t>10F</w:t>
      </w:r>
      <w:r>
        <w:rPr>
          <w:rFonts w:hint="eastAsia" w:ascii="仿宋" w:hAnsi="仿宋" w:eastAsia="仿宋" w:cs="仿宋"/>
          <w:sz w:val="32"/>
          <w:szCs w:val="32"/>
          <w:lang w:eastAsia="zh-CN"/>
        </w:rPr>
        <w:t>，</w:t>
      </w:r>
      <w:r>
        <w:rPr>
          <w:rFonts w:hint="eastAsia" w:ascii="仿宋" w:hAnsi="仿宋" w:eastAsia="仿宋" w:cs="仿宋"/>
          <w:sz w:val="32"/>
          <w:szCs w:val="32"/>
        </w:rPr>
        <w:t>单层招租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标的2为厦门市思明区站南路6号</w:t>
      </w:r>
      <w:r>
        <w:rPr>
          <w:rFonts w:hint="eastAsia" w:ascii="仿宋" w:hAnsi="仿宋" w:eastAsia="仿宋" w:cs="仿宋"/>
          <w:sz w:val="32"/>
          <w:szCs w:val="32"/>
        </w:rPr>
        <w:t>11-16F</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共6层</w:t>
      </w:r>
      <w:r>
        <w:rPr>
          <w:rFonts w:hint="eastAsia" w:ascii="仿宋" w:hAnsi="仿宋" w:eastAsia="仿宋" w:cs="仿宋"/>
          <w:sz w:val="32"/>
          <w:szCs w:val="32"/>
        </w:rPr>
        <w:t>整体招租，用途</w:t>
      </w:r>
      <w:r>
        <w:rPr>
          <w:rFonts w:hint="eastAsia" w:ascii="仿宋" w:hAnsi="仿宋" w:eastAsia="仿宋" w:cs="仿宋"/>
          <w:sz w:val="32"/>
          <w:szCs w:val="32"/>
          <w:lang w:val="en-US" w:eastAsia="zh-CN"/>
        </w:rPr>
        <w:t>均为</w:t>
      </w:r>
      <w:r>
        <w:rPr>
          <w:rFonts w:hint="eastAsia" w:ascii="仿宋" w:hAnsi="仿宋" w:eastAsia="仿宋" w:cs="仿宋"/>
          <w:sz w:val="32"/>
          <w:szCs w:val="32"/>
        </w:rPr>
        <w:t>办公。</w:t>
      </w:r>
    </w:p>
    <w:p>
      <w:pPr>
        <w:pStyle w:val="8"/>
        <w:spacing w:line="360" w:lineRule="auto"/>
        <w:ind w:firstLine="480" w:firstLineChars="150"/>
        <w:jc w:val="left"/>
        <w:rPr>
          <w:rFonts w:ascii="仿宋" w:hAnsi="仿宋" w:eastAsia="仿宋" w:cs="仿宋"/>
          <w:sz w:val="32"/>
          <w:szCs w:val="32"/>
        </w:rPr>
      </w:pPr>
      <w:r>
        <w:rPr>
          <w:rFonts w:hint="eastAsia" w:ascii="仿宋" w:hAnsi="仿宋" w:eastAsia="仿宋" w:cs="仿宋"/>
          <w:sz w:val="32"/>
          <w:szCs w:val="32"/>
        </w:rPr>
        <w:t xml:space="preserve"> 大厦坐落于厦门站南广场东侧，北侧为城市主干道厦禾路，区位条件优越。大厦毗邻地铁3号线及BRT快速公交，地下一、二层为公共停车场，共计642个车位，交通运输便捷。</w:t>
      </w:r>
    </w:p>
    <w:p>
      <w:pPr>
        <w:pStyle w:val="8"/>
        <w:spacing w:line="360" w:lineRule="auto"/>
        <w:ind w:firstLine="640"/>
        <w:jc w:val="left"/>
        <w:rPr>
          <w:rFonts w:ascii="仿宋" w:hAnsi="仿宋" w:eastAsia="仿宋" w:cs="仿宋"/>
          <w:sz w:val="32"/>
          <w:szCs w:val="32"/>
        </w:rPr>
      </w:pPr>
      <w:r>
        <w:rPr>
          <w:rFonts w:hint="eastAsia" w:ascii="仿宋" w:hAnsi="仿宋" w:eastAsia="仿宋" w:cs="仿宋"/>
          <w:sz w:val="32"/>
          <w:szCs w:val="32"/>
        </w:rPr>
        <w:t>项目现状为毛坯，楼内配置三台高速电梯和每层独立的高端中央空调及新风系统。</w:t>
      </w:r>
    </w:p>
    <w:p>
      <w:pPr>
        <w:pStyle w:val="8"/>
        <w:spacing w:line="360" w:lineRule="auto"/>
        <w:ind w:firstLine="0" w:firstLineChars="0"/>
        <w:jc w:val="left"/>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二、招租方式</w:t>
      </w:r>
    </w:p>
    <w:p>
      <w:pPr>
        <w:spacing w:line="360" w:lineRule="auto"/>
        <w:rPr>
          <w:rFonts w:ascii="仿宋" w:hAnsi="仿宋" w:eastAsia="仿宋" w:cs="仿宋"/>
          <w:sz w:val="32"/>
          <w:szCs w:val="32"/>
        </w:rPr>
      </w:pPr>
      <w:r>
        <w:rPr>
          <w:rFonts w:hint="eastAsia" w:ascii="仿宋" w:hAnsi="仿宋" w:eastAsia="仿宋" w:cs="仿宋"/>
          <w:sz w:val="32"/>
          <w:szCs w:val="32"/>
        </w:rPr>
        <w:t xml:space="preserve">    本次招租项目委托厦门产权交易中心以网络竞价的方式依法公开挂牌招租，价高者得。</w:t>
      </w:r>
    </w:p>
    <w:p>
      <w:pPr>
        <w:pStyle w:val="8"/>
        <w:spacing w:line="240" w:lineRule="auto"/>
        <w:ind w:firstLine="0" w:firstLineChars="0"/>
        <w:jc w:val="lef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三、租金底价及加价幅度：</w:t>
      </w:r>
    </w:p>
    <w:tbl>
      <w:tblPr>
        <w:tblStyle w:val="5"/>
        <w:tblpPr w:leftFromText="180" w:rightFromText="180" w:vertAnchor="text" w:horzAnchor="page" w:tblpX="1957" w:tblpY="6"/>
        <w:tblOverlap w:val="never"/>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027"/>
        <w:gridCol w:w="1395"/>
        <w:gridCol w:w="213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028"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2027" w:type="dxa"/>
            <w:vAlign w:val="center"/>
          </w:tcPr>
          <w:p>
            <w:pPr>
              <w:spacing w:line="360" w:lineRule="auto"/>
              <w:jc w:val="center"/>
              <w:rPr>
                <w:rFonts w:ascii="仿宋" w:hAnsi="仿宋" w:eastAsia="仿宋" w:cs="仿宋"/>
                <w:sz w:val="24"/>
              </w:rPr>
            </w:pPr>
            <w:r>
              <w:rPr>
                <w:rFonts w:hint="eastAsia" w:ascii="仿宋" w:hAnsi="仿宋" w:eastAsia="仿宋" w:cs="仿宋"/>
                <w:sz w:val="24"/>
              </w:rPr>
              <w:t>招租标的名称</w:t>
            </w:r>
          </w:p>
        </w:tc>
        <w:tc>
          <w:tcPr>
            <w:tcW w:w="1395" w:type="dxa"/>
            <w:vAlign w:val="center"/>
          </w:tcPr>
          <w:p>
            <w:pPr>
              <w:spacing w:line="360" w:lineRule="auto"/>
              <w:jc w:val="center"/>
              <w:rPr>
                <w:rFonts w:ascii="仿宋" w:hAnsi="仿宋" w:eastAsia="仿宋" w:cs="仿宋"/>
                <w:sz w:val="24"/>
              </w:rPr>
            </w:pPr>
            <w:r>
              <w:rPr>
                <w:rFonts w:hint="eastAsia" w:ascii="仿宋" w:hAnsi="仿宋" w:eastAsia="仿宋" w:cs="仿宋"/>
                <w:sz w:val="24"/>
              </w:rPr>
              <w:t>招租面积</w:t>
            </w:r>
          </w:p>
          <w:p>
            <w:pPr>
              <w:spacing w:line="360" w:lineRule="auto"/>
              <w:jc w:val="center"/>
              <w:rPr>
                <w:rFonts w:ascii="仿宋" w:hAnsi="仿宋" w:eastAsia="仿宋" w:cs="仿宋"/>
                <w:sz w:val="24"/>
              </w:rPr>
            </w:pPr>
            <w:r>
              <w:rPr>
                <w:rFonts w:hint="eastAsia" w:ascii="仿宋" w:hAnsi="仿宋" w:eastAsia="仿宋" w:cs="仿宋"/>
                <w:sz w:val="24"/>
              </w:rPr>
              <w:t>（平方米）</w:t>
            </w:r>
          </w:p>
        </w:tc>
        <w:tc>
          <w:tcPr>
            <w:tcW w:w="2130" w:type="dxa"/>
            <w:vAlign w:val="center"/>
          </w:tcPr>
          <w:p>
            <w:pPr>
              <w:spacing w:line="360" w:lineRule="auto"/>
              <w:jc w:val="center"/>
              <w:rPr>
                <w:rFonts w:ascii="仿宋" w:hAnsi="仿宋" w:eastAsia="仿宋" w:cs="仿宋"/>
                <w:sz w:val="24"/>
              </w:rPr>
            </w:pPr>
            <w:r>
              <w:rPr>
                <w:rFonts w:hint="eastAsia" w:ascii="仿宋" w:hAnsi="仿宋" w:eastAsia="仿宋" w:cs="仿宋"/>
                <w:sz w:val="24"/>
              </w:rPr>
              <w:t>首年</w:t>
            </w:r>
            <w:r>
              <w:rPr>
                <w:rFonts w:hint="eastAsia" w:ascii="仿宋" w:hAnsi="仿宋" w:eastAsia="仿宋" w:cs="仿宋"/>
                <w:sz w:val="24"/>
                <w:lang w:val="en-US" w:eastAsia="zh-CN"/>
              </w:rPr>
              <w:t>每</w:t>
            </w:r>
            <w:r>
              <w:rPr>
                <w:rFonts w:hint="eastAsia" w:ascii="仿宋" w:hAnsi="仿宋" w:eastAsia="仿宋" w:cs="仿宋"/>
                <w:sz w:val="24"/>
              </w:rPr>
              <w:t>月</w:t>
            </w:r>
            <w:r>
              <w:rPr>
                <w:rFonts w:hint="eastAsia" w:ascii="仿宋" w:hAnsi="仿宋" w:eastAsia="仿宋" w:cs="仿宋"/>
                <w:sz w:val="24"/>
                <w:lang w:val="en-US" w:eastAsia="zh-CN"/>
              </w:rPr>
              <w:t>每平方米</w:t>
            </w:r>
            <w:r>
              <w:rPr>
                <w:rFonts w:hint="eastAsia" w:ascii="仿宋" w:hAnsi="仿宋" w:eastAsia="仿宋" w:cs="仿宋"/>
                <w:sz w:val="24"/>
              </w:rPr>
              <w:t>租金底价（元）</w:t>
            </w:r>
          </w:p>
        </w:tc>
        <w:tc>
          <w:tcPr>
            <w:tcW w:w="1725" w:type="dxa"/>
            <w:vAlign w:val="center"/>
          </w:tcPr>
          <w:p>
            <w:pPr>
              <w:spacing w:line="360" w:lineRule="auto"/>
              <w:jc w:val="center"/>
              <w:rPr>
                <w:rFonts w:ascii="仿宋" w:hAnsi="仿宋" w:eastAsia="仿宋" w:cs="仿宋"/>
                <w:sz w:val="24"/>
              </w:rPr>
            </w:pPr>
            <w:r>
              <w:rPr>
                <w:rFonts w:hint="eastAsia" w:ascii="仿宋" w:hAnsi="仿宋" w:eastAsia="仿宋" w:cs="仿宋"/>
                <w:sz w:val="24"/>
              </w:rPr>
              <w:t>加价幅度（元）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28" w:type="dxa"/>
            <w:vAlign w:val="center"/>
          </w:tcPr>
          <w:p>
            <w:pPr>
              <w:jc w:val="center"/>
              <w:rPr>
                <w:rFonts w:hint="eastAsia" w:ascii="仿宋" w:hAnsi="仿宋" w:eastAsia="仿宋" w:cs="仿宋"/>
                <w:sz w:val="24"/>
              </w:rPr>
            </w:pPr>
            <w:r>
              <w:rPr>
                <w:rFonts w:hint="eastAsia" w:ascii="仿宋" w:hAnsi="仿宋" w:eastAsia="仿宋" w:cs="仿宋"/>
                <w:sz w:val="24"/>
              </w:rPr>
              <w:t>标的1</w:t>
            </w:r>
          </w:p>
        </w:tc>
        <w:tc>
          <w:tcPr>
            <w:tcW w:w="2027" w:type="dxa"/>
            <w:vAlign w:val="center"/>
          </w:tcPr>
          <w:p>
            <w:pPr>
              <w:jc w:val="center"/>
              <w:rPr>
                <w:rFonts w:ascii="仿宋" w:hAnsi="仿宋" w:eastAsia="仿宋" w:cs="仿宋"/>
                <w:sz w:val="24"/>
              </w:rPr>
            </w:pPr>
            <w:r>
              <w:rPr>
                <w:rFonts w:hint="eastAsia" w:ascii="仿宋" w:hAnsi="仿宋" w:eastAsia="仿宋" w:cs="仿宋"/>
                <w:sz w:val="24"/>
                <w:lang w:val="en-US" w:eastAsia="zh-CN"/>
              </w:rPr>
              <w:t>厦门市思明区站南路6号</w:t>
            </w:r>
            <w:r>
              <w:rPr>
                <w:rFonts w:hint="eastAsia" w:ascii="仿宋" w:hAnsi="仿宋" w:eastAsia="仿宋" w:cs="仿宋"/>
                <w:sz w:val="24"/>
              </w:rPr>
              <w:t>10F</w:t>
            </w:r>
          </w:p>
        </w:tc>
        <w:tc>
          <w:tcPr>
            <w:tcW w:w="1395" w:type="dxa"/>
            <w:vAlign w:val="center"/>
          </w:tcPr>
          <w:p>
            <w:pPr>
              <w:jc w:val="center"/>
              <w:rPr>
                <w:rFonts w:ascii="仿宋" w:hAnsi="仿宋" w:eastAsia="仿宋" w:cs="仿宋"/>
                <w:sz w:val="24"/>
              </w:rPr>
            </w:pPr>
            <w:r>
              <w:rPr>
                <w:rFonts w:hint="eastAsia" w:ascii="仿宋" w:hAnsi="仿宋" w:eastAsia="仿宋" w:cs="仿宋"/>
                <w:sz w:val="24"/>
              </w:rPr>
              <w:t>1189.19</w:t>
            </w:r>
          </w:p>
        </w:tc>
        <w:tc>
          <w:tcPr>
            <w:tcW w:w="2130"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45</w:t>
            </w:r>
          </w:p>
        </w:tc>
        <w:tc>
          <w:tcPr>
            <w:tcW w:w="1725"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28"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rPr>
              <w:t>标的</w:t>
            </w:r>
            <w:r>
              <w:rPr>
                <w:rFonts w:hint="eastAsia" w:ascii="仿宋" w:hAnsi="仿宋" w:eastAsia="仿宋" w:cs="仿宋"/>
                <w:sz w:val="24"/>
                <w:lang w:val="en-US" w:eastAsia="zh-CN"/>
              </w:rPr>
              <w:t>2</w:t>
            </w:r>
          </w:p>
        </w:tc>
        <w:tc>
          <w:tcPr>
            <w:tcW w:w="2027" w:type="dxa"/>
            <w:vAlign w:val="center"/>
          </w:tcPr>
          <w:p>
            <w:pPr>
              <w:jc w:val="center"/>
              <w:rPr>
                <w:rFonts w:ascii="仿宋" w:hAnsi="仿宋" w:eastAsia="仿宋" w:cs="仿宋"/>
                <w:sz w:val="24"/>
              </w:rPr>
            </w:pPr>
            <w:r>
              <w:rPr>
                <w:rFonts w:hint="eastAsia" w:ascii="仿宋" w:hAnsi="仿宋" w:eastAsia="仿宋" w:cs="仿宋"/>
                <w:sz w:val="24"/>
                <w:lang w:val="en-US" w:eastAsia="zh-CN"/>
              </w:rPr>
              <w:t>厦门市思明区站南路6号</w:t>
            </w:r>
            <w:r>
              <w:rPr>
                <w:rFonts w:hint="eastAsia" w:ascii="仿宋" w:hAnsi="仿宋" w:eastAsia="仿宋" w:cs="仿宋"/>
                <w:sz w:val="24"/>
              </w:rPr>
              <w:t>11-16F</w:t>
            </w:r>
          </w:p>
        </w:tc>
        <w:tc>
          <w:tcPr>
            <w:tcW w:w="1395" w:type="dxa"/>
            <w:vAlign w:val="center"/>
          </w:tcPr>
          <w:p>
            <w:pPr>
              <w:jc w:val="center"/>
              <w:rPr>
                <w:rFonts w:ascii="仿宋" w:hAnsi="仿宋" w:eastAsia="仿宋" w:cs="仿宋"/>
                <w:sz w:val="24"/>
              </w:rPr>
            </w:pPr>
            <w:r>
              <w:rPr>
                <w:rFonts w:hint="eastAsia" w:ascii="仿宋" w:hAnsi="仿宋" w:eastAsia="仿宋" w:cs="仿宋"/>
                <w:sz w:val="24"/>
              </w:rPr>
              <w:t>7145.82</w:t>
            </w:r>
          </w:p>
        </w:tc>
        <w:tc>
          <w:tcPr>
            <w:tcW w:w="2130"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45</w:t>
            </w:r>
          </w:p>
        </w:tc>
        <w:tc>
          <w:tcPr>
            <w:tcW w:w="1725"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r>
    </w:tbl>
    <w:p>
      <w:pPr>
        <w:numPr>
          <w:ilvl w:val="-1"/>
          <w:numId w:val="0"/>
        </w:numPr>
        <w:spacing w:line="580" w:lineRule="exact"/>
        <w:ind w:left="0" w:leftChars="0" w:firstLine="0" w:firstLineChars="0"/>
        <w:rPr>
          <w:rFonts w:hint="eastAsia" w:ascii="仿宋" w:hAnsi="仿宋" w:eastAsia="仿宋" w:cs="仿宋"/>
          <w:sz w:val="32"/>
          <w:szCs w:val="32"/>
          <w:highlight w:val="none"/>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highlight w:val="none"/>
        </w:rPr>
        <w:t>首年月租金标准</w:t>
      </w:r>
      <w:r>
        <w:rPr>
          <w:rFonts w:hint="eastAsia" w:ascii="仿宋" w:hAnsi="仿宋" w:eastAsia="仿宋" w:cs="仿宋"/>
          <w:sz w:val="32"/>
          <w:szCs w:val="32"/>
          <w:highlight w:val="none"/>
          <w:lang w:val="en-US" w:eastAsia="zh-CN"/>
        </w:rPr>
        <w:t>以最终成交价为准。</w:t>
      </w:r>
      <w:r>
        <w:rPr>
          <w:rFonts w:hint="eastAsia" w:ascii="仿宋" w:hAnsi="仿宋" w:eastAsia="仿宋" w:cs="仿宋"/>
          <w:sz w:val="32"/>
          <w:szCs w:val="32"/>
          <w:highlight w:val="none"/>
        </w:rPr>
        <w:t>考虑到</w:t>
      </w:r>
      <w:r>
        <w:rPr>
          <w:rFonts w:hint="eastAsia" w:ascii="仿宋" w:hAnsi="仿宋" w:eastAsia="仿宋" w:cs="仿宋"/>
          <w:sz w:val="32"/>
          <w:szCs w:val="32"/>
          <w:highlight w:val="none"/>
          <w:lang w:val="en-US" w:eastAsia="zh-CN"/>
        </w:rPr>
        <w:t>承租方</w:t>
      </w:r>
      <w:r>
        <w:rPr>
          <w:rFonts w:hint="eastAsia" w:ascii="仿宋" w:hAnsi="仿宋" w:eastAsia="仿宋" w:cs="仿宋"/>
          <w:sz w:val="32"/>
          <w:szCs w:val="32"/>
          <w:highlight w:val="none"/>
        </w:rPr>
        <w:t>首年装修需要，给予</w:t>
      </w:r>
      <w:r>
        <w:rPr>
          <w:rFonts w:hint="eastAsia" w:ascii="仿宋" w:hAnsi="仿宋" w:eastAsia="仿宋" w:cs="仿宋"/>
          <w:sz w:val="32"/>
          <w:szCs w:val="32"/>
          <w:highlight w:val="none"/>
          <w:lang w:val="en-US" w:eastAsia="zh-CN"/>
        </w:rPr>
        <w:t>标的1叁</w:t>
      </w:r>
      <w:r>
        <w:rPr>
          <w:rFonts w:hint="eastAsia" w:ascii="仿宋" w:hAnsi="仿宋" w:eastAsia="仿宋" w:cs="仿宋"/>
          <w:sz w:val="32"/>
          <w:szCs w:val="32"/>
          <w:highlight w:val="none"/>
        </w:rPr>
        <w:t>个月的租金优惠，即首年实际缴交的月租金按“首年月租金标准*</w:t>
      </w:r>
      <w:r>
        <w:rPr>
          <w:rFonts w:hint="eastAsia" w:ascii="仿宋" w:hAnsi="仿宋" w:eastAsia="仿宋" w:cs="仿宋"/>
          <w:sz w:val="32"/>
          <w:szCs w:val="32"/>
          <w:highlight w:val="none"/>
          <w:lang w:val="en-US" w:eastAsia="zh-CN"/>
        </w:rPr>
        <w:t>(9个月/12个月)*100%</w:t>
      </w:r>
      <w:r>
        <w:rPr>
          <w:rFonts w:hint="eastAsia" w:ascii="仿宋" w:hAnsi="仿宋" w:eastAsia="仿宋" w:cs="仿宋"/>
          <w:sz w:val="32"/>
          <w:szCs w:val="32"/>
          <w:highlight w:val="none"/>
        </w:rPr>
        <w:t>”收取</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给予</w:t>
      </w:r>
      <w:r>
        <w:rPr>
          <w:rFonts w:hint="eastAsia" w:ascii="仿宋" w:hAnsi="仿宋" w:eastAsia="仿宋" w:cs="仿宋"/>
          <w:sz w:val="32"/>
          <w:szCs w:val="32"/>
          <w:highlight w:val="none"/>
          <w:lang w:val="en-US" w:eastAsia="zh-CN"/>
        </w:rPr>
        <w:t>标的2捌</w:t>
      </w:r>
      <w:r>
        <w:rPr>
          <w:rFonts w:hint="eastAsia" w:ascii="仿宋" w:hAnsi="仿宋" w:eastAsia="仿宋" w:cs="仿宋"/>
          <w:sz w:val="32"/>
          <w:szCs w:val="32"/>
          <w:highlight w:val="none"/>
        </w:rPr>
        <w:t>个月的租金优惠，即首年实际缴交的月租金按“首年月租金标准*</w:t>
      </w:r>
      <w:r>
        <w:rPr>
          <w:rFonts w:hint="eastAsia" w:ascii="仿宋" w:hAnsi="仿宋" w:eastAsia="仿宋" w:cs="仿宋"/>
          <w:sz w:val="32"/>
          <w:szCs w:val="32"/>
          <w:highlight w:val="none"/>
          <w:lang w:val="en-US" w:eastAsia="zh-CN"/>
        </w:rPr>
        <w:t>(4个月/12个月)*100%</w:t>
      </w:r>
      <w:r>
        <w:rPr>
          <w:rFonts w:hint="eastAsia" w:ascii="仿宋" w:hAnsi="仿宋" w:eastAsia="仿宋" w:cs="仿宋"/>
          <w:sz w:val="32"/>
          <w:szCs w:val="32"/>
          <w:highlight w:val="none"/>
        </w:rPr>
        <w:t>”收取。</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租赁合同生效后一年内因承租方违约导致合同解除的，承租方应在收到招租方通知日起按</w:t>
      </w:r>
      <w:r>
        <w:rPr>
          <w:rFonts w:hint="eastAsia" w:ascii="仿宋" w:hAnsi="仿宋" w:eastAsia="仿宋" w:cs="仿宋"/>
          <w:sz w:val="32"/>
          <w:szCs w:val="32"/>
          <w:highlight w:val="none"/>
          <w:lang w:eastAsia="zh-CN"/>
        </w:rPr>
        <w:t>成交</w:t>
      </w:r>
      <w:r>
        <w:rPr>
          <w:rFonts w:hint="eastAsia" w:ascii="仿宋" w:hAnsi="仿宋" w:eastAsia="仿宋" w:cs="仿宋"/>
          <w:sz w:val="32"/>
          <w:szCs w:val="32"/>
          <w:highlight w:val="none"/>
        </w:rPr>
        <w:t>月租金单价缴纳租金，并补缴自合同签订生效日至通知送达日期间的优惠租金差额。</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此次招租面积含公摊面积，成交后承租方对招租面积不得提出异议。各意向人须踏勘现场后充分清楚现场实际使用范围及面积，一旦报名即表明了解并接受了招租标的的现状。</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成交后，承租方不得将所租房屋转租。</w:t>
      </w:r>
    </w:p>
    <w:p>
      <w:pPr>
        <w:pStyle w:val="8"/>
        <w:tabs>
          <w:tab w:val="left" w:pos="640"/>
        </w:tabs>
        <w:spacing w:line="360" w:lineRule="auto"/>
        <w:ind w:firstLine="0" w:firstLineChars="0"/>
        <w:jc w:val="left"/>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四、租赁期限及租金递增方式</w:t>
      </w:r>
    </w:p>
    <w:p>
      <w:pPr>
        <w:pStyle w:val="8"/>
        <w:tabs>
          <w:tab w:val="left" w:pos="640"/>
        </w:tabs>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标的1与标的2的</w:t>
      </w:r>
      <w:r>
        <w:rPr>
          <w:rFonts w:hint="eastAsia" w:ascii="仿宋" w:hAnsi="仿宋" w:eastAsia="仿宋" w:cs="仿宋"/>
          <w:sz w:val="32"/>
          <w:szCs w:val="32"/>
          <w:highlight w:val="none"/>
        </w:rPr>
        <w:t>租赁期限</w:t>
      </w:r>
      <w:r>
        <w:rPr>
          <w:rFonts w:hint="eastAsia" w:ascii="仿宋" w:hAnsi="仿宋" w:eastAsia="仿宋" w:cs="仿宋"/>
          <w:sz w:val="32"/>
          <w:szCs w:val="32"/>
          <w:highlight w:val="none"/>
          <w:lang w:val="en-US" w:eastAsia="zh-CN"/>
        </w:rPr>
        <w:t>均</w:t>
      </w:r>
      <w:r>
        <w:rPr>
          <w:rFonts w:hint="eastAsia" w:ascii="仿宋" w:hAnsi="仿宋" w:eastAsia="仿宋" w:cs="仿宋"/>
          <w:sz w:val="32"/>
          <w:szCs w:val="32"/>
          <w:highlight w:val="none"/>
        </w:rPr>
        <w:t>为9年。前三年（含</w:t>
      </w:r>
      <w:r>
        <w:rPr>
          <w:rFonts w:hint="eastAsia" w:ascii="仿宋" w:hAnsi="仿宋" w:eastAsia="仿宋" w:cs="仿宋"/>
          <w:sz w:val="32"/>
          <w:szCs w:val="32"/>
          <w:highlight w:val="none"/>
          <w:lang w:val="en-US" w:eastAsia="zh-CN"/>
        </w:rPr>
        <w:t>优惠</w:t>
      </w:r>
      <w:r>
        <w:rPr>
          <w:rFonts w:hint="eastAsia" w:ascii="仿宋" w:hAnsi="仿宋" w:eastAsia="仿宋" w:cs="仿宋"/>
          <w:sz w:val="32"/>
          <w:szCs w:val="32"/>
          <w:highlight w:val="none"/>
        </w:rPr>
        <w:t>期）租金不增</w:t>
      </w:r>
      <w:r>
        <w:rPr>
          <w:rFonts w:hint="eastAsia" w:ascii="仿宋" w:hAnsi="仿宋" w:eastAsia="仿宋" w:cs="仿宋"/>
          <w:sz w:val="32"/>
          <w:szCs w:val="32"/>
        </w:rPr>
        <w:t>加；第四年起，月租金每年递增3%（该租金含税费，但不包含物业管理费、公维金、空调能耗、水电及水电公摊等）。</w:t>
      </w:r>
    </w:p>
    <w:p>
      <w:pPr>
        <w:pStyle w:val="8"/>
        <w:numPr>
          <w:ilvl w:val="-1"/>
          <w:numId w:val="0"/>
        </w:numPr>
        <w:spacing w:line="240" w:lineRule="auto"/>
        <w:ind w:left="0" w:firstLine="0" w:firstLineChars="0"/>
        <w:jc w:val="lef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五、物业管理</w:t>
      </w:r>
    </w:p>
    <w:p>
      <w:pPr>
        <w:pStyle w:val="8"/>
        <w:spacing w:line="240" w:lineRule="auto"/>
        <w:ind w:firstLine="0" w:firstLineChars="0"/>
        <w:jc w:val="lef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该项目原物业单位委托管理合同已到期，</w:t>
      </w:r>
      <w:r>
        <w:rPr>
          <w:rFonts w:hint="eastAsia" w:ascii="仿宋" w:hAnsi="仿宋" w:eastAsia="仿宋" w:cs="仿宋"/>
          <w:sz w:val="32"/>
          <w:szCs w:val="32"/>
          <w:lang w:val="en-US" w:eastAsia="zh-CN"/>
        </w:rPr>
        <w:t>新一届物业管理公司由大厦业委会共同选定，</w:t>
      </w:r>
      <w:r>
        <w:rPr>
          <w:rFonts w:hint="eastAsia" w:ascii="仿宋" w:hAnsi="仿宋" w:eastAsia="仿宋" w:cs="仿宋"/>
          <w:sz w:val="32"/>
          <w:szCs w:val="32"/>
        </w:rPr>
        <w:t>物业费及公维金以后续实际物业管理单位制定标准据实结算。</w:t>
      </w:r>
    </w:p>
    <w:p>
      <w:pPr>
        <w:pStyle w:val="8"/>
        <w:tabs>
          <w:tab w:val="left" w:pos="640"/>
        </w:tabs>
        <w:spacing w:line="360" w:lineRule="auto"/>
        <w:ind w:firstLine="0" w:firstLineChars="0"/>
        <w:jc w:val="left"/>
        <w:rPr>
          <w:rFonts w:hint="eastAsia" w:ascii="仿宋" w:hAnsi="仿宋" w:eastAsia="仿宋" w:cs="仿宋"/>
          <w:sz w:val="32"/>
          <w:szCs w:val="32"/>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bCs/>
          <w:color w:val="000000" w:themeColor="text1"/>
          <w:sz w:val="32"/>
          <w:szCs w:val="32"/>
          <w:highlight w:val="none"/>
          <w14:textFill>
            <w14:solidFill>
              <w14:schemeClr w14:val="tx1"/>
            </w14:solidFill>
          </w14:textFill>
        </w:rPr>
        <w:t>交</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付</w:t>
      </w:r>
      <w:r>
        <w:rPr>
          <w:rFonts w:hint="eastAsia" w:ascii="黑体" w:hAnsi="黑体" w:eastAsia="黑体" w:cs="黑体"/>
          <w:bCs/>
          <w:color w:val="000000" w:themeColor="text1"/>
          <w:sz w:val="32"/>
          <w:szCs w:val="32"/>
          <w:highlight w:val="none"/>
          <w14:textFill>
            <w14:solidFill>
              <w14:schemeClr w14:val="tx1"/>
            </w14:solidFill>
          </w14:textFill>
        </w:rPr>
        <w:t>时间</w:t>
      </w:r>
    </w:p>
    <w:p>
      <w:pPr>
        <w:pStyle w:val="8"/>
        <w:tabs>
          <w:tab w:val="left" w:pos="640"/>
        </w:tabs>
        <w:spacing w:line="360" w:lineRule="auto"/>
        <w:ind w:left="0" w:firstLine="640" w:firstLineChars="200"/>
        <w:jc w:val="left"/>
        <w:rPr>
          <w:rFonts w:hint="eastAsia" w:ascii="黑体" w:hAnsi="黑体" w:eastAsia="黑体" w:cs="黑体"/>
          <w:bCs/>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lang w:val="en-US" w:eastAsia="zh-CN"/>
        </w:rPr>
        <w:t>招租</w:t>
      </w:r>
      <w:r>
        <w:rPr>
          <w:rFonts w:hint="eastAsia" w:ascii="仿宋" w:hAnsi="仿宋" w:eastAsia="仿宋" w:cs="仿宋"/>
          <w:sz w:val="32"/>
          <w:szCs w:val="32"/>
        </w:rPr>
        <w:t>方在收到房屋押金后</w:t>
      </w:r>
      <w:r>
        <w:rPr>
          <w:rFonts w:hint="eastAsia" w:ascii="仿宋" w:hAnsi="仿宋" w:eastAsia="仿宋" w:cs="仿宋"/>
          <w:sz w:val="32"/>
          <w:szCs w:val="32"/>
          <w:u w:val="none"/>
          <w:lang w:val="en-US" w:eastAsia="zh-CN"/>
        </w:rPr>
        <w:t>10</w:t>
      </w:r>
      <w:r>
        <w:rPr>
          <w:rFonts w:hint="eastAsia" w:ascii="仿宋" w:hAnsi="仿宋" w:eastAsia="仿宋" w:cs="仿宋"/>
          <w:sz w:val="32"/>
          <w:szCs w:val="32"/>
          <w:lang w:val="en-US" w:eastAsia="zh-CN"/>
        </w:rPr>
        <w:t>个工作</w:t>
      </w:r>
      <w:r>
        <w:rPr>
          <w:rFonts w:hint="eastAsia" w:ascii="仿宋" w:hAnsi="仿宋" w:eastAsia="仿宋" w:cs="仿宋"/>
          <w:sz w:val="32"/>
          <w:szCs w:val="32"/>
        </w:rPr>
        <w:t>日内与</w:t>
      </w:r>
      <w:r>
        <w:rPr>
          <w:rFonts w:hint="eastAsia" w:ascii="仿宋" w:hAnsi="仿宋" w:eastAsia="仿宋" w:cs="仿宋"/>
          <w:sz w:val="32"/>
          <w:szCs w:val="32"/>
          <w:lang w:val="en-US" w:eastAsia="zh-CN"/>
        </w:rPr>
        <w:t>承租</w:t>
      </w:r>
      <w:r>
        <w:rPr>
          <w:rFonts w:hint="eastAsia" w:ascii="仿宋" w:hAnsi="仿宋" w:eastAsia="仿宋" w:cs="仿宋"/>
          <w:sz w:val="32"/>
          <w:szCs w:val="32"/>
        </w:rPr>
        <w:t>方</w:t>
      </w:r>
      <w:r>
        <w:rPr>
          <w:rFonts w:hint="eastAsia" w:ascii="仿宋" w:hAnsi="仿宋" w:eastAsia="仿宋" w:cs="仿宋"/>
          <w:color w:val="auto"/>
          <w:sz w:val="32"/>
          <w:szCs w:val="32"/>
        </w:rPr>
        <w:t>办理相关交房手续</w:t>
      </w:r>
      <w:r>
        <w:rPr>
          <w:rStyle w:val="6"/>
          <w:rFonts w:hint="eastAsia" w:ascii="仿宋" w:hAnsi="仿宋" w:eastAsia="仿宋" w:cs="仿宋"/>
          <w:sz w:val="32"/>
          <w:szCs w:val="32"/>
          <w:lang w:eastAsia="zh-CN"/>
        </w:rPr>
        <w:t>。</w:t>
      </w:r>
    </w:p>
    <w:p>
      <w:pPr>
        <w:pStyle w:val="8"/>
        <w:tabs>
          <w:tab w:val="left" w:pos="640"/>
        </w:tabs>
        <w:spacing w:line="360" w:lineRule="auto"/>
        <w:ind w:firstLine="0" w:firstLineChars="0"/>
        <w:jc w:val="left"/>
        <w:rPr>
          <w:rFonts w:hint="default"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七、租金</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及</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押金缴交</w:t>
      </w:r>
      <w:r>
        <w:rPr>
          <w:rFonts w:hint="eastAsia" w:ascii="黑体" w:hAnsi="黑体" w:eastAsia="黑体" w:cs="黑体"/>
          <w:b w:val="0"/>
          <w:bCs/>
          <w:color w:val="000000" w:themeColor="text1"/>
          <w:sz w:val="32"/>
          <w:szCs w:val="32"/>
          <w:highlight w:val="none"/>
          <w14:textFill>
            <w14:solidFill>
              <w14:schemeClr w14:val="tx1"/>
            </w14:solidFill>
          </w14:textFill>
        </w:rPr>
        <w:t>方式</w:t>
      </w:r>
    </w:p>
    <w:p>
      <w:pPr>
        <w:pStyle w:val="8"/>
        <w:tabs>
          <w:tab w:val="left" w:pos="640"/>
        </w:tabs>
        <w:spacing w:line="360" w:lineRule="auto"/>
        <w:ind w:firstLine="640"/>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押金：相当于首年壹个月租金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成交价</w:t>
      </w:r>
      <w:r>
        <w:rPr>
          <w:rFonts w:hint="eastAsia" w:ascii="仿宋" w:hAnsi="仿宋" w:eastAsia="仿宋" w:cs="仿宋"/>
          <w:sz w:val="32"/>
          <w:szCs w:val="32"/>
          <w:lang w:eastAsia="zh-CN"/>
        </w:rPr>
        <w:t>）</w:t>
      </w:r>
      <w:r>
        <w:rPr>
          <w:rFonts w:hint="eastAsia" w:ascii="仿宋" w:hAnsi="仿宋" w:eastAsia="仿宋" w:cs="仿宋"/>
          <w:sz w:val="32"/>
          <w:szCs w:val="32"/>
        </w:rPr>
        <w:t>标准。</w:t>
      </w:r>
    </w:p>
    <w:p>
      <w:pPr>
        <w:pStyle w:val="8"/>
        <w:spacing w:line="360" w:lineRule="auto"/>
        <w:ind w:firstLine="640"/>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租金</w:t>
      </w:r>
      <w:r>
        <w:rPr>
          <w:rFonts w:hint="eastAsia" w:ascii="仿宋" w:hAnsi="仿宋" w:eastAsia="仿宋" w:cs="仿宋"/>
          <w:sz w:val="32"/>
          <w:szCs w:val="32"/>
          <w:lang w:val="en-US" w:eastAsia="zh-CN"/>
        </w:rPr>
        <w:t>缴交</w:t>
      </w:r>
      <w:r>
        <w:rPr>
          <w:rFonts w:hint="eastAsia" w:ascii="仿宋" w:hAnsi="仿宋" w:eastAsia="仿宋" w:cs="仿宋"/>
          <w:sz w:val="32"/>
          <w:szCs w:val="32"/>
        </w:rPr>
        <w:t>方式：租金按季度结算，除首期租金外，其余每期租金应于上季度结束前7个工作日内一次性付清。首期租金为</w:t>
      </w:r>
      <w:r>
        <w:rPr>
          <w:rFonts w:hint="eastAsia" w:ascii="仿宋" w:hAnsi="仿宋" w:eastAsia="仿宋" w:cs="仿宋"/>
          <w:sz w:val="32"/>
          <w:szCs w:val="32"/>
          <w:lang w:val="en-US" w:eastAsia="zh-CN"/>
        </w:rPr>
        <w:t>首年实际缴交的叁</w:t>
      </w:r>
      <w:r>
        <w:rPr>
          <w:rFonts w:hint="eastAsia" w:ascii="仿宋" w:hAnsi="仿宋" w:eastAsia="仿宋" w:cs="仿宋"/>
          <w:sz w:val="32"/>
          <w:szCs w:val="32"/>
        </w:rPr>
        <w:t>个月租金。</w:t>
      </w:r>
    </w:p>
    <w:p>
      <w:pPr>
        <w:spacing w:line="500" w:lineRule="exact"/>
        <w:ind w:firstLine="0" w:firstLineChars="0"/>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八、竞价保证金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highlight w:val="none"/>
          <w:lang w:val="en-US" w:eastAsia="zh-CN"/>
        </w:rPr>
        <w:t>标的1</w:t>
      </w:r>
      <w:r>
        <w:rPr>
          <w:rFonts w:hint="eastAsia" w:ascii="仿宋" w:hAnsi="仿宋" w:eastAsia="仿宋" w:cs="仿宋"/>
          <w:sz w:val="32"/>
          <w:szCs w:val="32"/>
          <w:highlight w:val="none"/>
        </w:rPr>
        <w:t>的竞价保证金为人民币</w:t>
      </w:r>
      <w:r>
        <w:rPr>
          <w:rFonts w:hint="eastAsia" w:ascii="仿宋" w:hAnsi="仿宋" w:eastAsia="仿宋" w:cs="仿宋"/>
          <w:sz w:val="32"/>
          <w:szCs w:val="32"/>
          <w:highlight w:val="none"/>
          <w:lang w:val="en-US" w:eastAsia="zh-CN"/>
        </w:rPr>
        <w:t>350000</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标的2</w:t>
      </w:r>
      <w:r>
        <w:rPr>
          <w:rFonts w:hint="eastAsia" w:ascii="仿宋" w:hAnsi="仿宋" w:eastAsia="仿宋" w:cs="仿宋"/>
          <w:sz w:val="32"/>
          <w:szCs w:val="32"/>
          <w:highlight w:val="none"/>
        </w:rPr>
        <w:t>的竞价保证金为人民币</w:t>
      </w:r>
      <w:r>
        <w:rPr>
          <w:rFonts w:hint="eastAsia" w:ascii="仿宋" w:hAnsi="仿宋" w:eastAsia="仿宋" w:cs="仿宋"/>
          <w:sz w:val="32"/>
          <w:szCs w:val="32"/>
          <w:highlight w:val="none"/>
          <w:lang w:val="en-US" w:eastAsia="zh-CN"/>
        </w:rPr>
        <w:t>1200000</w:t>
      </w:r>
      <w:r>
        <w:rPr>
          <w:rFonts w:hint="eastAsia" w:ascii="仿宋" w:hAnsi="仿宋" w:eastAsia="仿宋" w:cs="仿宋"/>
          <w:sz w:val="32"/>
          <w:szCs w:val="32"/>
          <w:highlight w:val="none"/>
        </w:rPr>
        <w:t>元。意向承租方应在办理登记时</w:t>
      </w:r>
      <w:r>
        <w:rPr>
          <w:rFonts w:hint="eastAsia" w:ascii="仿宋" w:hAnsi="仿宋" w:eastAsia="仿宋" w:cs="仿宋"/>
          <w:sz w:val="32"/>
          <w:szCs w:val="32"/>
        </w:rPr>
        <w:t>应将竞价保证金按时足额支付至厦门产权交易中心指定账户。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成交后，承租方应按照竞价规则规定的时间与出租方签订《房屋租赁合同》，未按时签订《房屋租赁合同》的，视为承租方放弃租赁本招租项目，承租方原缴厦门产权交易中心的竞价保证金不予退还。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合同签订后，承租人原缴厦门产权交易中心的竞价保证金扣除承租人应缴的产权交易佣金及鉴证费后，余款由厦门产权交易中心转至出租方指定账户，出租方可从该款项中直接扣除承租方应缴的首年首期租金和首年</w:t>
      </w:r>
      <w:r>
        <w:rPr>
          <w:rFonts w:hint="eastAsia" w:ascii="仿宋" w:hAnsi="仿宋" w:eastAsia="仿宋" w:cs="仿宋"/>
          <w:sz w:val="32"/>
          <w:szCs w:val="32"/>
          <w:lang w:val="en-US" w:eastAsia="zh-CN"/>
        </w:rPr>
        <w:t>壹</w:t>
      </w:r>
      <w:r>
        <w:rPr>
          <w:rFonts w:hint="eastAsia" w:ascii="仿宋" w:hAnsi="仿宋" w:eastAsia="仿宋" w:cs="仿宋"/>
          <w:sz w:val="32"/>
          <w:szCs w:val="32"/>
        </w:rPr>
        <w:t>个月租金标准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成交价</w:t>
      </w:r>
      <w:r>
        <w:rPr>
          <w:rFonts w:hint="eastAsia" w:ascii="仿宋" w:hAnsi="仿宋" w:eastAsia="仿宋" w:cs="仿宋"/>
          <w:sz w:val="32"/>
          <w:szCs w:val="32"/>
          <w:lang w:eastAsia="zh-CN"/>
        </w:rPr>
        <w:t>）</w:t>
      </w:r>
      <w:r>
        <w:rPr>
          <w:rFonts w:hint="eastAsia" w:ascii="仿宋" w:hAnsi="仿宋" w:eastAsia="仿宋" w:cs="仿宋"/>
          <w:sz w:val="32"/>
          <w:szCs w:val="32"/>
        </w:rPr>
        <w:t>的租赁押金，不足部分承租人应在合同签订后 14个工作日内支付至出租方指定账户，多余部分由出租方</w:t>
      </w:r>
      <w:r>
        <w:rPr>
          <w:rFonts w:hint="eastAsia" w:ascii="仿宋" w:hAnsi="仿宋" w:eastAsia="仿宋" w:cs="仿宋"/>
          <w:sz w:val="32"/>
          <w:szCs w:val="32"/>
          <w:lang w:val="en-US" w:eastAsia="zh-CN"/>
        </w:rPr>
        <w:t>14个工作日内</w:t>
      </w:r>
      <w:r>
        <w:rPr>
          <w:rFonts w:hint="eastAsia" w:ascii="仿宋" w:hAnsi="仿宋" w:eastAsia="仿宋" w:cs="仿宋"/>
          <w:sz w:val="32"/>
          <w:szCs w:val="32"/>
        </w:rPr>
        <w:t>无息返还。</w:t>
      </w:r>
    </w:p>
    <w:p>
      <w:pPr>
        <w:spacing w:line="360" w:lineRule="auto"/>
        <w:ind w:firstLine="0" w:firstLineChars="0"/>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九、竞租人资格条件要求：</w:t>
      </w:r>
    </w:p>
    <w:p>
      <w:pPr>
        <w:spacing w:line="360" w:lineRule="auto"/>
        <w:ind w:firstLine="640" w:firstLineChars="200"/>
        <w:rPr>
          <w:rFonts w:hint="default" w:ascii="仿宋" w:hAnsi="仿宋" w:eastAsia="仿宋" w:cs="仿宋"/>
          <w:spacing w:val="0"/>
          <w:kern w:val="2"/>
          <w:sz w:val="32"/>
          <w:szCs w:val="32"/>
          <w:highlight w:val="none"/>
          <w:lang w:val="en-US" w:eastAsia="zh-CN"/>
        </w:rPr>
      </w:pPr>
      <w:r>
        <w:rPr>
          <w:rFonts w:hint="eastAsia" w:ascii="仿宋" w:hAnsi="仿宋" w:eastAsia="仿宋" w:cs="仿宋"/>
          <w:sz w:val="32"/>
          <w:szCs w:val="32"/>
          <w:highlight w:val="none"/>
          <w:lang w:val="en-US" w:eastAsia="zh-CN"/>
        </w:rPr>
        <w:t>（一）</w:t>
      </w:r>
      <w:r>
        <w:rPr>
          <w:rFonts w:hint="eastAsia" w:ascii="仿宋" w:hAnsi="仿宋" w:eastAsia="仿宋" w:cs="仿宋"/>
          <w:color w:val="auto"/>
          <w:sz w:val="32"/>
          <w:szCs w:val="32"/>
          <w:highlight w:val="none"/>
          <w:u w:val="none"/>
          <w:lang w:val="en-US" w:eastAsia="zh-CN"/>
        </w:rPr>
        <w:t>竞租人不得为失信被执行人及失信被执行人的法定代表人、主要负责人、实际控制人、影响债务履行的直接责任人员；</w:t>
      </w:r>
    </w:p>
    <w:p>
      <w:pPr>
        <w:spacing w:line="360" w:lineRule="auto"/>
        <w:ind w:firstLine="640" w:firstLineChars="200"/>
        <w:rPr>
          <w:rFonts w:hint="eastAsia"/>
          <w:lang w:val="en-US" w:eastAsia="zh-CN"/>
        </w:rPr>
      </w:pPr>
      <w:r>
        <w:rPr>
          <w:rFonts w:hint="eastAsia" w:ascii="仿宋" w:hAnsi="仿宋" w:eastAsia="仿宋" w:cs="仿宋"/>
          <w:sz w:val="32"/>
          <w:szCs w:val="32"/>
          <w:lang w:val="en-US" w:eastAsia="zh-CN"/>
        </w:rPr>
        <w:t>（二）</w:t>
      </w:r>
      <w:r>
        <w:rPr>
          <w:rFonts w:hint="eastAsia" w:ascii="仿宋" w:hAnsi="仿宋" w:eastAsia="仿宋" w:cs="仿宋"/>
          <w:color w:val="auto"/>
          <w:sz w:val="32"/>
          <w:szCs w:val="32"/>
          <w:u w:val="none"/>
          <w:lang w:val="en-US" w:eastAsia="zh-CN"/>
        </w:rPr>
        <w:t>竞租人</w:t>
      </w:r>
      <w:r>
        <w:rPr>
          <w:rFonts w:hint="eastAsia" w:ascii="仿宋" w:hAnsi="仿宋" w:eastAsia="仿宋" w:cs="仿宋"/>
          <w:color w:val="auto"/>
          <w:spacing w:val="0"/>
          <w:kern w:val="2"/>
          <w:sz w:val="32"/>
          <w:szCs w:val="32"/>
          <w:highlight w:val="none"/>
          <w:lang w:val="en-US" w:eastAsia="zh-CN"/>
        </w:rPr>
        <w:t>须为在中华人民共和国境内依法设立的具有独立法人资格的企业</w:t>
      </w:r>
      <w:r>
        <w:rPr>
          <w:rFonts w:hint="eastAsia" w:ascii="仿宋" w:hAnsi="仿宋" w:eastAsia="仿宋" w:cs="仿宋"/>
          <w:spacing w:val="0"/>
          <w:kern w:val="2"/>
          <w:sz w:val="32"/>
          <w:szCs w:val="32"/>
          <w:lang w:val="en-US" w:eastAsia="zh-CN"/>
        </w:rPr>
        <w:t>；</w:t>
      </w:r>
    </w:p>
    <w:p>
      <w:pPr>
        <w:spacing w:line="360" w:lineRule="auto"/>
        <w:ind w:left="17" w:leftChars="8" w:firstLine="617" w:firstLineChars="193"/>
        <w:rPr>
          <w:rFonts w:hint="eastAsia" w:ascii="仿宋" w:hAnsi="仿宋" w:eastAsia="仿宋" w:cs="仿宋"/>
          <w:kern w:val="2"/>
          <w:sz w:val="32"/>
          <w:szCs w:val="32"/>
        </w:rPr>
      </w:pPr>
      <w:r>
        <w:rPr>
          <w:rFonts w:hint="eastAsia" w:ascii="仿宋" w:hAnsi="仿宋" w:eastAsia="仿宋" w:cs="仿宋"/>
          <w:color w:val="auto"/>
          <w:sz w:val="32"/>
          <w:szCs w:val="32"/>
          <w:u w:val="none"/>
          <w:lang w:val="en-US" w:eastAsia="zh-CN"/>
        </w:rPr>
        <w:t>（三）</w:t>
      </w:r>
      <w:r>
        <w:rPr>
          <w:rFonts w:hint="eastAsia" w:ascii="仿宋" w:hAnsi="仿宋" w:eastAsia="仿宋" w:cs="仿宋"/>
          <w:sz w:val="32"/>
          <w:szCs w:val="32"/>
        </w:rPr>
        <w:t>在中国执行信息公开网（zxgk.court.gov.cn）上不存在被列入失信被执行人名单或不良信用记录的</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rPr>
        <w:t>且</w:t>
      </w:r>
      <w:r>
        <w:rPr>
          <w:rFonts w:hint="eastAsia" w:ascii="仿宋" w:hAnsi="仿宋" w:eastAsia="仿宋" w:cs="仿宋"/>
          <w:kern w:val="2"/>
          <w:sz w:val="32"/>
          <w:szCs w:val="32"/>
        </w:rPr>
        <w:t>未被厦门市国资委列入不诚信负面名单或厦门市政集团列入失信方名单；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不存在与</w:t>
      </w:r>
      <w:r>
        <w:rPr>
          <w:rFonts w:hint="eastAsia" w:ascii="仿宋" w:hAnsi="仿宋" w:eastAsia="仿宋" w:cs="仿宋"/>
          <w:sz w:val="32"/>
          <w:szCs w:val="32"/>
          <w:lang w:eastAsia="zh-CN"/>
        </w:rPr>
        <w:t>厦门</w:t>
      </w:r>
      <w:r>
        <w:rPr>
          <w:rFonts w:hint="eastAsia" w:ascii="仿宋" w:hAnsi="仿宋" w:eastAsia="仿宋" w:cs="仿宋"/>
          <w:sz w:val="32"/>
          <w:szCs w:val="32"/>
          <w:lang w:val="en-US" w:eastAsia="zh-CN"/>
        </w:rPr>
        <w:t>市政</w:t>
      </w:r>
      <w:r>
        <w:rPr>
          <w:rFonts w:hint="eastAsia" w:ascii="仿宋" w:hAnsi="仿宋" w:eastAsia="仿宋" w:cs="仿宋"/>
          <w:sz w:val="32"/>
          <w:szCs w:val="32"/>
          <w:lang w:eastAsia="zh-CN"/>
        </w:rPr>
        <w:t>集团有限公司及其下属公司</w:t>
      </w:r>
      <w:r>
        <w:rPr>
          <w:rFonts w:hint="eastAsia" w:ascii="仿宋" w:hAnsi="仿宋" w:eastAsia="仿宋" w:cs="仿宋"/>
          <w:sz w:val="32"/>
          <w:szCs w:val="32"/>
        </w:rPr>
        <w:t>有诉讼或纠纷未解决的；</w:t>
      </w:r>
    </w:p>
    <w:p>
      <w:pPr>
        <w:widowControl/>
        <w:shd w:val="clear" w:color="auto" w:fill="auto"/>
        <w:spacing w:line="360" w:lineRule="auto"/>
        <w:ind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b w:val="0"/>
          <w:bCs w:val="0"/>
          <w:color w:val="auto"/>
          <w:spacing w:val="0"/>
          <w:sz w:val="32"/>
          <w:szCs w:val="32"/>
          <w:highlight w:val="none"/>
          <w:shd w:val="clear" w:color="auto" w:fill="auto"/>
          <w:lang w:eastAsia="zh-CN"/>
        </w:rPr>
        <w:t>竞租方</w:t>
      </w:r>
      <w:r>
        <w:rPr>
          <w:rFonts w:hint="eastAsia" w:ascii="仿宋" w:hAnsi="仿宋" w:eastAsia="仿宋" w:cs="仿宋"/>
          <w:color w:val="auto"/>
          <w:spacing w:val="0"/>
          <w:kern w:val="2"/>
          <w:sz w:val="32"/>
          <w:szCs w:val="32"/>
          <w:highlight w:val="none"/>
          <w:lang w:val="en-US" w:eastAsia="zh-CN"/>
        </w:rPr>
        <w:t>须按本方案附件格式，向招租方出具书面承诺函，承诺下列全部事项：</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spacing w:val="0"/>
          <w:kern w:val="2"/>
          <w:sz w:val="32"/>
          <w:szCs w:val="32"/>
          <w:lang w:val="en-US" w:eastAsia="zh-CN"/>
        </w:rPr>
        <w:t xml:space="preserve">① </w:t>
      </w:r>
      <w:r>
        <w:rPr>
          <w:rFonts w:hint="eastAsia" w:ascii="仿宋" w:hAnsi="仿宋" w:eastAsia="仿宋" w:cs="仿宋"/>
          <w:color w:val="auto"/>
          <w:spacing w:val="0"/>
          <w:kern w:val="2"/>
          <w:sz w:val="32"/>
          <w:szCs w:val="32"/>
          <w:highlight w:val="none"/>
          <w:lang w:val="en-US" w:eastAsia="zh-CN"/>
        </w:rPr>
        <w:t>未处于政府主管部门确定的市场禁入期间；</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spacing w:val="0"/>
          <w:kern w:val="2"/>
          <w:sz w:val="32"/>
          <w:szCs w:val="32"/>
          <w:lang w:val="en-US" w:eastAsia="zh-CN"/>
        </w:rPr>
        <w:t xml:space="preserve">② </w:t>
      </w:r>
      <w:r>
        <w:rPr>
          <w:rFonts w:hint="eastAsia" w:ascii="仿宋" w:hAnsi="仿宋" w:eastAsia="仿宋" w:cs="仿宋"/>
          <w:color w:val="auto"/>
          <w:spacing w:val="0"/>
          <w:kern w:val="2"/>
          <w:sz w:val="32"/>
          <w:szCs w:val="32"/>
          <w:highlight w:val="none"/>
          <w:lang w:val="en-US" w:eastAsia="zh-CN"/>
        </w:rPr>
        <w:t>未处于被责令停业、投资资格被取消、财产被接管或冻结、破产状态；</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spacing w:val="0"/>
          <w:kern w:val="2"/>
          <w:sz w:val="32"/>
          <w:szCs w:val="32"/>
          <w:lang w:val="en-US" w:eastAsia="zh-CN"/>
        </w:rPr>
        <w:t xml:space="preserve">③ </w:t>
      </w:r>
      <w:r>
        <w:rPr>
          <w:rFonts w:hint="eastAsia" w:ascii="仿宋" w:hAnsi="仿宋" w:eastAsia="仿宋" w:cs="仿宋"/>
          <w:color w:val="auto"/>
          <w:spacing w:val="0"/>
          <w:kern w:val="2"/>
          <w:sz w:val="32"/>
          <w:szCs w:val="32"/>
          <w:highlight w:val="none"/>
          <w:lang w:val="en-US" w:eastAsia="zh-CN"/>
        </w:rPr>
        <w:t>未被列入全国法院失信被执行人名单，且无其他信用不良情形；</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spacing w:val="0"/>
          <w:kern w:val="2"/>
          <w:sz w:val="32"/>
          <w:szCs w:val="32"/>
          <w:lang w:val="en-US" w:eastAsia="zh-CN"/>
        </w:rPr>
        <w:t xml:space="preserve">④ </w:t>
      </w:r>
      <w:r>
        <w:rPr>
          <w:rFonts w:hint="eastAsia" w:ascii="仿宋" w:hAnsi="仿宋" w:eastAsia="仿宋" w:cs="仿宋"/>
          <w:color w:val="auto"/>
          <w:spacing w:val="0"/>
          <w:kern w:val="2"/>
          <w:sz w:val="32"/>
          <w:szCs w:val="32"/>
          <w:highlight w:val="none"/>
          <w:lang w:val="en-US" w:eastAsia="zh-CN"/>
        </w:rPr>
        <w:t>报名截止日前未拖欠招租人租金或其他应付费用的；</w:t>
      </w:r>
    </w:p>
    <w:p>
      <w:pPr>
        <w:widowControl/>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pacing w:val="0"/>
          <w:kern w:val="2"/>
          <w:sz w:val="32"/>
          <w:szCs w:val="32"/>
          <w:lang w:val="en-US" w:eastAsia="zh-CN"/>
        </w:rPr>
        <w:t xml:space="preserve">⑤ </w:t>
      </w:r>
      <w:r>
        <w:rPr>
          <w:rFonts w:hint="eastAsia" w:ascii="仿宋" w:hAnsi="仿宋" w:eastAsia="仿宋" w:cs="仿宋"/>
          <w:color w:val="auto"/>
          <w:spacing w:val="0"/>
          <w:kern w:val="2"/>
          <w:sz w:val="32"/>
          <w:szCs w:val="32"/>
          <w:highlight w:val="none"/>
          <w:lang w:val="en-US" w:eastAsia="zh-CN"/>
        </w:rPr>
        <w:t>未被国家企业信用信息公示系统列入经营异常名录或严重违法失信企业名单的。</w:t>
      </w:r>
    </w:p>
    <w:p>
      <w:pPr>
        <w:spacing w:line="360" w:lineRule="auto"/>
        <w:ind w:left="640" w:leftChars="0" w:hanging="640" w:hangingChars="200"/>
        <w:rPr>
          <w:rFonts w:hint="eastAsia" w:ascii="仿宋" w:hAnsi="仿宋" w:eastAsia="仿宋" w:cs="仿宋"/>
          <w:kern w:val="2"/>
          <w:sz w:val="32"/>
          <w:szCs w:val="32"/>
          <w:lang w:eastAsia="zh-CN"/>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十、</w:t>
      </w:r>
      <w:r>
        <w:rPr>
          <w:rFonts w:hint="eastAsia" w:ascii="黑体" w:hAnsi="黑体" w:eastAsia="黑体" w:cs="黑体"/>
          <w:bCs/>
          <w:color w:val="000000" w:themeColor="text1"/>
          <w:sz w:val="32"/>
          <w:szCs w:val="32"/>
          <w:highlight w:val="none"/>
          <w14:textFill>
            <w14:solidFill>
              <w14:schemeClr w14:val="tx1"/>
            </w14:solidFill>
          </w14:textFill>
        </w:rPr>
        <w:t>竞租</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人</w:t>
      </w:r>
      <w:r>
        <w:rPr>
          <w:rFonts w:hint="eastAsia" w:ascii="黑体" w:hAnsi="黑体" w:eastAsia="黑体" w:cs="黑体"/>
          <w:b w:val="0"/>
          <w:bCs/>
          <w:color w:val="000000" w:themeColor="text1"/>
          <w:sz w:val="32"/>
          <w:szCs w:val="32"/>
          <w:highlight w:val="none"/>
          <w14:textFill>
            <w14:solidFill>
              <w14:schemeClr w14:val="tx1"/>
            </w14:solidFill>
          </w14:textFill>
        </w:rPr>
        <w:t>资格审查材料</w:t>
      </w:r>
      <w:r>
        <w:rPr>
          <w:rFonts w:hint="eastAsia" w:ascii="黑体" w:hAnsi="黑体" w:eastAsia="黑体" w:cs="黑体"/>
          <w:bCs/>
          <w:color w:val="000000" w:themeColor="text1"/>
          <w:sz w:val="32"/>
          <w:szCs w:val="32"/>
          <w:highlight w:val="none"/>
          <w14:textFill>
            <w14:solidFill>
              <w14:schemeClr w14:val="tx1"/>
            </w14:solidFill>
          </w14:textFill>
        </w:rPr>
        <w:t>：</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lang w:val="en-US" w:eastAsia="zh-CN"/>
        </w:rPr>
        <w:t>一</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highlight w:val="none"/>
          <w:lang w:val="en-US" w:eastAsia="zh-CN"/>
        </w:rPr>
        <w:t>营业执照副本等主体资格证明文件复印件；</w:t>
      </w:r>
    </w:p>
    <w:p>
      <w:pPr>
        <w:spacing w:line="360" w:lineRule="auto"/>
        <w:ind w:left="638" w:leftChars="304"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（二）竞租人的法定代表人身份证复印件；</w:t>
      </w:r>
    </w:p>
    <w:p>
      <w:pPr>
        <w:numPr>
          <w:ilvl w:val="0"/>
          <w:numId w:val="0"/>
        </w:numPr>
        <w:spacing w:line="6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（三）竞租人承诺函（</w:t>
      </w:r>
      <w:r>
        <w:rPr>
          <w:rFonts w:hint="eastAsia" w:ascii="仿宋" w:hAnsi="仿宋" w:eastAsia="仿宋" w:cs="仿宋"/>
          <w:kern w:val="0"/>
          <w:sz w:val="30"/>
          <w:szCs w:val="30"/>
          <w:highlight w:val="none"/>
          <w:lang w:val="en-US" w:eastAsia="zh-CN"/>
        </w:rPr>
        <w:t>以</w:t>
      </w:r>
      <w:r>
        <w:rPr>
          <w:rFonts w:hint="eastAsia" w:ascii="仿宋" w:hAnsi="仿宋" w:eastAsia="仿宋" w:cs="仿宋"/>
          <w:kern w:val="0"/>
          <w:sz w:val="30"/>
          <w:szCs w:val="30"/>
          <w:highlight w:val="none"/>
        </w:rPr>
        <w:t>厦门</w:t>
      </w:r>
      <w:r>
        <w:rPr>
          <w:rFonts w:hint="eastAsia" w:ascii="仿宋" w:hAnsi="仿宋" w:eastAsia="仿宋" w:cs="仿宋"/>
          <w:kern w:val="0"/>
          <w:sz w:val="30"/>
          <w:szCs w:val="30"/>
          <w:highlight w:val="none"/>
          <w:lang w:val="en-US" w:eastAsia="zh-CN"/>
        </w:rPr>
        <w:t>产权交易中心发布的公告内容为准</w:t>
      </w:r>
      <w:r>
        <w:rPr>
          <w:rFonts w:hint="eastAsia" w:ascii="仿宋" w:hAnsi="仿宋" w:eastAsia="仿宋" w:cs="仿宋"/>
          <w:color w:val="auto"/>
          <w:sz w:val="32"/>
          <w:szCs w:val="32"/>
          <w:highlight w:val="none"/>
          <w:lang w:val="en-US" w:eastAsia="zh-CN"/>
        </w:rPr>
        <w:t>）；</w:t>
      </w:r>
    </w:p>
    <w:p>
      <w:pPr>
        <w:spacing w:line="360" w:lineRule="auto"/>
        <w:ind w:left="17" w:leftChars="8" w:firstLine="617" w:firstLineChars="193"/>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（四）由中国人民银行出具的企业信用报告（报告出具日期需在厦门产权交易中心发布公告日期之后）；</w:t>
      </w:r>
    </w:p>
    <w:p>
      <w:pPr>
        <w:spacing w:line="360" w:lineRule="auto"/>
        <w:ind w:left="17" w:leftChars="8" w:firstLine="617" w:firstLineChars="193"/>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以上材料均加盖公章。通过招租方资格审查的意向竞租人方具有竞价资格。</w:t>
      </w:r>
    </w:p>
    <w:p>
      <w:pPr>
        <w:spacing w:line="360" w:lineRule="auto"/>
        <w:rPr>
          <w:rFonts w:hint="eastAsia" w:ascii="黑体" w:hAnsi="黑体" w:eastAsia="黑体" w:cs="黑体"/>
          <w:bCs/>
          <w:color w:val="000000" w:themeColor="text1"/>
          <w:kern w:val="2"/>
          <w:sz w:val="32"/>
          <w:szCs w:val="32"/>
          <w:highlight w:val="none"/>
          <w14:textFill>
            <w14:solidFill>
              <w14:schemeClr w14:val="tx1"/>
            </w14:solidFill>
          </w14:textFill>
        </w:rPr>
      </w:pPr>
      <w:r>
        <w:rPr>
          <w:rFonts w:hint="eastAsia" w:ascii="黑体" w:hAnsi="黑体" w:eastAsia="黑体" w:cs="黑体"/>
          <w:bCs/>
          <w:color w:val="000000" w:themeColor="text1"/>
          <w:kern w:val="2"/>
          <w:sz w:val="32"/>
          <w:szCs w:val="32"/>
          <w:highlight w:val="none"/>
          <w:lang w:val="en-US" w:eastAsia="zh-CN"/>
          <w14:textFill>
            <w14:solidFill>
              <w14:schemeClr w14:val="tx1"/>
            </w14:solidFill>
          </w14:textFill>
        </w:rPr>
        <w:t>十一、其他事项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《房屋租赁合同》</w:t>
      </w:r>
      <w:r>
        <w:rPr>
          <w:rFonts w:hint="eastAsia" w:ascii="仿宋" w:hAnsi="仿宋" w:eastAsia="仿宋" w:cs="仿宋"/>
          <w:sz w:val="32"/>
          <w:szCs w:val="32"/>
          <w:lang w:val="en-US" w:eastAsia="zh-CN"/>
        </w:rPr>
        <w:t>与</w:t>
      </w:r>
      <w:r>
        <w:rPr>
          <w:rFonts w:hint="eastAsia" w:ascii="仿宋" w:hAnsi="仿宋" w:eastAsia="仿宋" w:cs="仿宋"/>
          <w:sz w:val="32"/>
          <w:szCs w:val="32"/>
        </w:rPr>
        <w:t>本招租</w:t>
      </w:r>
      <w:r>
        <w:rPr>
          <w:rFonts w:hint="eastAsia" w:ascii="仿宋" w:hAnsi="仿宋" w:eastAsia="仿宋" w:cs="仿宋"/>
          <w:sz w:val="32"/>
          <w:szCs w:val="32"/>
          <w:lang w:val="en-US" w:eastAsia="zh-CN"/>
        </w:rPr>
        <w:t>须知</w:t>
      </w:r>
      <w:r>
        <w:rPr>
          <w:rFonts w:hint="eastAsia" w:ascii="仿宋" w:hAnsi="仿宋" w:eastAsia="仿宋" w:cs="仿宋"/>
          <w:sz w:val="32"/>
          <w:szCs w:val="32"/>
        </w:rPr>
        <w:t>具有同等法律效力；本招租</w:t>
      </w:r>
      <w:r>
        <w:rPr>
          <w:rFonts w:hint="eastAsia" w:ascii="仿宋" w:hAnsi="仿宋" w:eastAsia="仿宋" w:cs="仿宋"/>
          <w:sz w:val="32"/>
          <w:szCs w:val="32"/>
          <w:lang w:val="en-US" w:eastAsia="zh-CN"/>
        </w:rPr>
        <w:t>须知</w:t>
      </w:r>
      <w:r>
        <w:rPr>
          <w:rFonts w:hint="eastAsia" w:ascii="仿宋" w:hAnsi="仿宋" w:eastAsia="仿宋" w:cs="仿宋"/>
          <w:sz w:val="32"/>
          <w:szCs w:val="32"/>
        </w:rPr>
        <w:t>未列明的，以《房屋租赁合同》内容为准。</w:t>
      </w:r>
    </w:p>
    <w:p>
      <w:pPr>
        <w:pStyle w:val="8"/>
        <w:spacing w:line="360" w:lineRule="auto"/>
        <w:ind w:left="0" w:leftChars="0" w:firstLine="0" w:firstLineChars="0"/>
        <w:jc w:val="left"/>
        <w:rPr>
          <w:rFonts w:ascii="仿宋" w:hAnsi="仿宋" w:eastAsia="仿宋" w:cs="仿宋"/>
          <w:sz w:val="32"/>
          <w:szCs w:val="32"/>
        </w:rPr>
      </w:pPr>
    </w:p>
    <w:p>
      <w:pPr>
        <w:pStyle w:val="8"/>
        <w:spacing w:line="360" w:lineRule="auto"/>
        <w:ind w:left="0" w:leftChars="0" w:firstLine="0" w:firstLineChars="0"/>
        <w:jc w:val="left"/>
        <w:rPr>
          <w:rFonts w:ascii="仿宋" w:hAnsi="仿宋" w:eastAsia="仿宋" w:cs="仿宋"/>
          <w:sz w:val="32"/>
          <w:szCs w:val="32"/>
        </w:rPr>
      </w:pPr>
    </w:p>
    <w:p>
      <w:pPr>
        <w:pStyle w:val="8"/>
        <w:spacing w:line="360" w:lineRule="auto"/>
        <w:ind w:left="0" w:leftChars="0" w:firstLine="0" w:firstLineChars="0"/>
        <w:jc w:val="left"/>
        <w:rPr>
          <w:rFonts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厦门市政城市开发建设有限公司</w:t>
      </w:r>
    </w:p>
    <w:p>
      <w:pPr>
        <w:pStyle w:val="2"/>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sz w:val="32"/>
          <w:szCs w:val="32"/>
          <w:lang w:val="en-US" w:eastAsia="zh-CN"/>
        </w:rPr>
        <w:t xml:space="preserve">                           2022年4月</w:t>
      </w:r>
      <w:bookmarkStart w:id="0" w:name="_GoBack"/>
      <w:bookmarkEnd w:id="0"/>
      <w:r>
        <w:rPr>
          <w:rFonts w:hint="eastAsia" w:ascii="仿宋" w:hAnsi="仿宋" w:eastAsia="仿宋" w:cs="仿宋"/>
          <w:sz w:val="32"/>
          <w:szCs w:val="32"/>
          <w:lang w:val="en-US" w:eastAsia="zh-CN"/>
        </w:rPr>
        <w:t>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2NGNkZGYyMTA1MDFhYTlhMGY4NGMxNThjMDU4NGIifQ=="/>
  </w:docVars>
  <w:rsids>
    <w:rsidRoot w:val="40FE2C84"/>
    <w:rsid w:val="000A767A"/>
    <w:rsid w:val="001D2ACC"/>
    <w:rsid w:val="004B0D73"/>
    <w:rsid w:val="005D70B8"/>
    <w:rsid w:val="00662EB7"/>
    <w:rsid w:val="0082730B"/>
    <w:rsid w:val="00B46CEC"/>
    <w:rsid w:val="00DA35C5"/>
    <w:rsid w:val="00EB2E5D"/>
    <w:rsid w:val="00FD5E5D"/>
    <w:rsid w:val="036E6D79"/>
    <w:rsid w:val="042255B0"/>
    <w:rsid w:val="046B684E"/>
    <w:rsid w:val="05AF4B92"/>
    <w:rsid w:val="05C35953"/>
    <w:rsid w:val="0A9373A3"/>
    <w:rsid w:val="0ADB07A1"/>
    <w:rsid w:val="0EA1438C"/>
    <w:rsid w:val="0EE90A46"/>
    <w:rsid w:val="0FE741AC"/>
    <w:rsid w:val="118412BE"/>
    <w:rsid w:val="13490DC8"/>
    <w:rsid w:val="1535149F"/>
    <w:rsid w:val="167836FA"/>
    <w:rsid w:val="1A4F56CE"/>
    <w:rsid w:val="1BB84C63"/>
    <w:rsid w:val="1E262849"/>
    <w:rsid w:val="215978FB"/>
    <w:rsid w:val="225156DC"/>
    <w:rsid w:val="233C3AA6"/>
    <w:rsid w:val="24F74B6D"/>
    <w:rsid w:val="2D0A5DCB"/>
    <w:rsid w:val="31B62F30"/>
    <w:rsid w:val="31DE12E9"/>
    <w:rsid w:val="3575650C"/>
    <w:rsid w:val="36126C93"/>
    <w:rsid w:val="3D1951B6"/>
    <w:rsid w:val="3D734B24"/>
    <w:rsid w:val="40FE2C84"/>
    <w:rsid w:val="42C62D0E"/>
    <w:rsid w:val="430F347E"/>
    <w:rsid w:val="43385945"/>
    <w:rsid w:val="44026D5B"/>
    <w:rsid w:val="46D70E43"/>
    <w:rsid w:val="46D8793A"/>
    <w:rsid w:val="4D9E7155"/>
    <w:rsid w:val="4FAD4C37"/>
    <w:rsid w:val="51301970"/>
    <w:rsid w:val="51C57F00"/>
    <w:rsid w:val="56D01855"/>
    <w:rsid w:val="57850BC7"/>
    <w:rsid w:val="594A6E91"/>
    <w:rsid w:val="5A8C0EE1"/>
    <w:rsid w:val="5BAB33D8"/>
    <w:rsid w:val="5C326433"/>
    <w:rsid w:val="5C867FAD"/>
    <w:rsid w:val="5EA505C9"/>
    <w:rsid w:val="5F180D4A"/>
    <w:rsid w:val="5F1B758A"/>
    <w:rsid w:val="600D7F0E"/>
    <w:rsid w:val="60371AB6"/>
    <w:rsid w:val="61AA0402"/>
    <w:rsid w:val="626754AA"/>
    <w:rsid w:val="63AE4580"/>
    <w:rsid w:val="652F02D7"/>
    <w:rsid w:val="66E04AF8"/>
    <w:rsid w:val="685966E4"/>
    <w:rsid w:val="69BB0F75"/>
    <w:rsid w:val="6E7B7BA8"/>
    <w:rsid w:val="6E914087"/>
    <w:rsid w:val="6ED73F29"/>
    <w:rsid w:val="700F03A0"/>
    <w:rsid w:val="72264D47"/>
    <w:rsid w:val="726C336D"/>
    <w:rsid w:val="759C7B83"/>
    <w:rsid w:val="77037DE5"/>
    <w:rsid w:val="79E85176"/>
    <w:rsid w:val="7A85161C"/>
    <w:rsid w:val="7A96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99"/>
    <w:pPr>
      <w:spacing w:line="560" w:lineRule="exact"/>
      <w:ind w:firstLine="836" w:firstLineChars="200"/>
    </w:pPr>
    <w:rPr>
      <w:rFonts w:ascii="Times New Roman" w:hAnsi="Times New Roman" w:eastAsia="仿宋_GB2312"/>
      <w:sz w:val="32"/>
    </w:rPr>
  </w:style>
  <w:style w:type="paragraph" w:styleId="3">
    <w:name w:val="annotation text"/>
    <w:basedOn w:val="1"/>
    <w:qFormat/>
    <w:uiPriority w:val="0"/>
    <w:pPr>
      <w:jc w:val="left"/>
    </w:pPr>
  </w:style>
  <w:style w:type="paragraph" w:styleId="4">
    <w:name w:val="Title"/>
    <w:basedOn w:val="1"/>
    <w:qFormat/>
    <w:uiPriority w:val="0"/>
    <w:pPr>
      <w:jc w:val="center"/>
      <w:outlineLvl w:val="0"/>
    </w:pPr>
    <w:rPr>
      <w:rFonts w:hint="eastAsia" w:ascii="宋体"/>
      <w:b/>
      <w:sz w:val="32"/>
    </w:rPr>
  </w:style>
  <w:style w:type="character" w:styleId="7">
    <w:name w:val="annotation reference"/>
    <w:unhideWhenUsed/>
    <w:qFormat/>
    <w:uiPriority w:val="99"/>
    <w:rPr>
      <w:sz w:val="21"/>
      <w:szCs w:val="21"/>
    </w:rPr>
  </w:style>
  <w:style w:type="paragraph" w:customStyle="1" w:styleId="8">
    <w:name w:val="列出段落11"/>
    <w:basedOn w:val="1"/>
    <w:qFormat/>
    <w:uiPriority w:val="34"/>
    <w:pPr>
      <w:ind w:firstLine="420" w:firstLineChars="200"/>
    </w:pPr>
  </w:style>
  <w:style w:type="paragraph" w:customStyle="1" w:styleId="9">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1923</Words>
  <Characters>2012</Characters>
  <Lines>12</Lines>
  <Paragraphs>3</Paragraphs>
  <TotalTime>7</TotalTime>
  <ScaleCrop>false</ScaleCrop>
  <LinksUpToDate>false</LinksUpToDate>
  <CharactersWithSpaces>2090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2022-04-20T01:30:00Z</dcterms:created>
  <dc:creator>VvVvVv</dc:creator>
  <cp:lastModifiedBy>VvVvVv</cp:lastModifiedBy>
  <cp:lastPrinted>2022-04-26T02:08:03Z</cp:lastPrinted>
  <dcterms:modified xsi:type="dcterms:W3CDTF">2022-04-26T02:09:32Z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13119B108481423E84C82490BE53315C</vt:lpwstr>
  </property>
  <property fmtid="{D5CDD505-2E9C-101B-9397-08002B2CF9AE}" pid="4" name="commondata">
    <vt:lpwstr>eyJoZGlkIjoiMDc2NGNkZGYyMTA1MDFhYTlhMGY4NGMxNThjMDU4NGIifQ==</vt:lpwstr>
  </property>
</Properties>
</file>